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w:t>
      </w:r>
      <w:r w:rsidR="00686FAF">
        <w:rPr>
          <w:rFonts w:cs="Arial"/>
          <w:bCs/>
          <w:sz w:val="24"/>
          <w:szCs w:val="24"/>
        </w:rPr>
        <w:t xml:space="preserve"> </w:t>
      </w:r>
      <w:r w:rsidR="00686FAF">
        <w:rPr>
          <w:rFonts w:eastAsiaTheme="minorEastAsia" w:cs="Arial"/>
          <w:bCs/>
          <w:sz w:val="24"/>
          <w:szCs w:val="24"/>
          <w:lang w:eastAsia="zh-CN"/>
        </w:rPr>
        <w:t>90bis</w:t>
      </w:r>
      <w:r w:rsidRPr="001D2C7C">
        <w:rPr>
          <w:rFonts w:cs="Arial"/>
          <w:bCs/>
          <w:sz w:val="24"/>
          <w:szCs w:val="24"/>
        </w:rPr>
        <w:tab/>
      </w:r>
      <w:r w:rsidR="00FE5414" w:rsidRPr="0082251E">
        <w:rPr>
          <w:rFonts w:eastAsiaTheme="minorEastAsia" w:cs="Arial" w:hint="eastAsia"/>
          <w:bCs/>
          <w:sz w:val="24"/>
          <w:szCs w:val="24"/>
          <w:lang w:eastAsia="zh-CN"/>
        </w:rPr>
        <w:t xml:space="preserve"> </w:t>
      </w:r>
      <w:r w:rsidRPr="0082251E">
        <w:rPr>
          <w:rFonts w:cs="Arial"/>
          <w:bCs/>
          <w:sz w:val="24"/>
          <w:szCs w:val="24"/>
        </w:rPr>
        <w:t xml:space="preserve">    </w:t>
      </w:r>
      <w:r w:rsidR="002A2D93" w:rsidRPr="002A2D93">
        <w:rPr>
          <w:sz w:val="24"/>
          <w:szCs w:val="24"/>
        </w:rPr>
        <w:t xml:space="preserve"> </w:t>
      </w:r>
      <w:r w:rsidR="003A733B" w:rsidRPr="003A733B">
        <w:rPr>
          <w:sz w:val="24"/>
          <w:szCs w:val="24"/>
        </w:rPr>
        <w:t>R1-1718503</w:t>
      </w:r>
    </w:p>
    <w:p w:rsidR="00F100D0" w:rsidRPr="001D2C7C" w:rsidRDefault="00686FAF"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Prague</w:t>
      </w:r>
      <w:r w:rsidR="00F100D0" w:rsidRPr="00DF2518">
        <w:rPr>
          <w:rFonts w:eastAsiaTheme="minorEastAsia" w:cs="Arial"/>
          <w:bCs/>
          <w:sz w:val="24"/>
          <w:szCs w:val="24"/>
          <w:lang w:eastAsia="zh-CN"/>
        </w:rPr>
        <w:t>,</w:t>
      </w:r>
      <w:r w:rsidR="00C200C3">
        <w:rPr>
          <w:rFonts w:eastAsiaTheme="minorEastAsia" w:cs="Arial"/>
          <w:bCs/>
          <w:sz w:val="24"/>
          <w:szCs w:val="24"/>
          <w:lang w:val="en-US" w:eastAsia="zh-CN"/>
        </w:rPr>
        <w:t xml:space="preserve"> </w:t>
      </w:r>
      <w:r>
        <w:rPr>
          <w:rFonts w:eastAsiaTheme="minorEastAsia" w:cs="Arial"/>
          <w:bCs/>
          <w:sz w:val="24"/>
          <w:szCs w:val="24"/>
          <w:lang w:val="en-US" w:eastAsia="zh-CN"/>
        </w:rPr>
        <w:t>Czech Republic</w:t>
      </w:r>
      <w:r w:rsidR="00F100D0" w:rsidRPr="00C200C3">
        <w:rPr>
          <w:rFonts w:eastAsiaTheme="minorEastAsia" w:cs="Arial" w:hint="eastAsia"/>
          <w:bCs/>
          <w:sz w:val="24"/>
          <w:szCs w:val="24"/>
          <w:lang w:eastAsia="zh-CN"/>
        </w:rPr>
        <w:t>,</w:t>
      </w:r>
      <w:r w:rsidR="00F100D0" w:rsidRPr="00C200C3">
        <w:rPr>
          <w:rFonts w:cs="Arial"/>
          <w:bCs/>
          <w:sz w:val="24"/>
          <w:szCs w:val="24"/>
        </w:rPr>
        <w:t xml:space="preserve"> </w:t>
      </w:r>
      <w:r>
        <w:rPr>
          <w:rFonts w:cs="Arial"/>
          <w:bCs/>
          <w:sz w:val="24"/>
          <w:szCs w:val="24"/>
        </w:rPr>
        <w:t>9</w:t>
      </w:r>
      <w:r w:rsidR="00C200C3" w:rsidRPr="00C200C3">
        <w:rPr>
          <w:rFonts w:cs="Arial"/>
          <w:bCs/>
          <w:sz w:val="24"/>
          <w:szCs w:val="24"/>
          <w:vertAlign w:val="superscript"/>
        </w:rPr>
        <w:t>th</w:t>
      </w:r>
      <w:r w:rsidR="00C200C3" w:rsidRPr="00C200C3">
        <w:rPr>
          <w:rFonts w:cs="Arial" w:hint="eastAsia"/>
          <w:bCs/>
          <w:sz w:val="24"/>
          <w:szCs w:val="24"/>
        </w:rPr>
        <w:t xml:space="preserve"> </w:t>
      </w:r>
      <w:r w:rsidR="00C200C3" w:rsidRPr="00C200C3">
        <w:rPr>
          <w:rFonts w:cs="Arial"/>
          <w:bCs/>
          <w:sz w:val="24"/>
          <w:szCs w:val="24"/>
        </w:rPr>
        <w:t xml:space="preserve">– </w:t>
      </w:r>
      <w:r>
        <w:rPr>
          <w:rFonts w:cs="Arial"/>
          <w:bCs/>
          <w:sz w:val="24"/>
          <w:szCs w:val="24"/>
        </w:rPr>
        <w:t>13</w:t>
      </w:r>
      <w:r>
        <w:rPr>
          <w:rFonts w:cs="Arial"/>
          <w:bCs/>
          <w:sz w:val="24"/>
          <w:szCs w:val="24"/>
          <w:vertAlign w:val="superscript"/>
        </w:rPr>
        <w:t>th</w:t>
      </w:r>
      <w:r w:rsidR="00C200C3" w:rsidRPr="00C200C3">
        <w:rPr>
          <w:rFonts w:cs="Arial" w:hint="eastAsia"/>
          <w:bCs/>
          <w:sz w:val="24"/>
          <w:szCs w:val="24"/>
        </w:rPr>
        <w:t xml:space="preserve">, </w:t>
      </w:r>
      <w:r>
        <w:rPr>
          <w:rFonts w:cs="Arial"/>
          <w:bCs/>
          <w:sz w:val="24"/>
          <w:szCs w:val="24"/>
        </w:rPr>
        <w:t>October</w:t>
      </w:r>
      <w:r w:rsidR="00C200C3" w:rsidRPr="00C200C3">
        <w:rPr>
          <w:rFonts w:cs="Arial"/>
          <w:bCs/>
          <w:sz w:val="24"/>
          <w:szCs w:val="24"/>
          <w:lang w:val="en-US"/>
        </w:rPr>
        <w:t xml:space="preserve"> </w:t>
      </w:r>
      <w:r w:rsidR="00F100D0" w:rsidRPr="00C200C3">
        <w:rPr>
          <w:rFonts w:cs="Arial"/>
          <w:bCs/>
          <w:sz w:val="24"/>
          <w:szCs w:val="24"/>
          <w:lang w:val="en-US"/>
        </w:rPr>
        <w:t>201</w:t>
      </w:r>
      <w:r w:rsidR="00B92BD7" w:rsidRPr="00C200C3">
        <w:rPr>
          <w:rFonts w:eastAsia="SimSun" w:cs="Arial"/>
          <w:bCs/>
          <w:sz w:val="24"/>
          <w:szCs w:val="24"/>
          <w:lang w:val="en-US" w:eastAsia="zh-CN"/>
        </w:rPr>
        <w:t>7</w:t>
      </w:r>
    </w:p>
    <w:p w:rsidR="00F100D0" w:rsidRPr="00B92BD7" w:rsidRDefault="00F100D0" w:rsidP="00F100D0">
      <w:pPr>
        <w:pStyle w:val="Header"/>
        <w:tabs>
          <w:tab w:val="left" w:pos="1805"/>
        </w:tabs>
        <w:snapToGrid w:val="0"/>
        <w:spacing w:after="0" w:afterAutospacing="0"/>
        <w:ind w:left="1800" w:hanging="1800"/>
        <w:outlineLvl w:val="0"/>
        <w:rPr>
          <w:rFonts w:cs="Arial"/>
          <w:sz w:val="22"/>
          <w:szCs w:val="22"/>
          <w:lang w:val="en-US"/>
        </w:rPr>
      </w:pPr>
    </w:p>
    <w:p w:rsidR="00182E29" w:rsidRPr="00E4386B" w:rsidRDefault="00182E29" w:rsidP="00182E29">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686FAF" w:rsidRPr="00686FAF">
        <w:rPr>
          <w:rFonts w:cs="Arial"/>
          <w:sz w:val="22"/>
          <w:szCs w:val="22"/>
        </w:rPr>
        <w:t>Remaining issues in NR-LTE coexistence</w:t>
      </w: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w:t>
      </w:r>
      <w:r w:rsidR="00C200C3">
        <w:rPr>
          <w:rFonts w:eastAsia="SimSun" w:cs="Arial"/>
          <w:sz w:val="22"/>
          <w:szCs w:val="22"/>
          <w:lang w:eastAsia="zh-CN"/>
        </w:rPr>
        <w:t>, Sanechips</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686FAF">
        <w:rPr>
          <w:rFonts w:eastAsiaTheme="minorEastAsia" w:cs="Arial"/>
          <w:sz w:val="22"/>
          <w:szCs w:val="22"/>
          <w:lang w:eastAsia="zh-CN"/>
        </w:rPr>
        <w:t>7.5</w:t>
      </w:r>
    </w:p>
    <w:p w:rsidR="00F100D0" w:rsidRPr="00F100D0" w:rsidRDefault="00F100D0" w:rsidP="00012F8F">
      <w:pPr>
        <w:pBdr>
          <w:bottom w:val="single" w:sz="6" w:space="2" w:color="auto"/>
        </w:pBdr>
        <w:snapToGrid w:val="0"/>
        <w:spacing w:after="0"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BA729D" w:rsidRDefault="0065113A" w:rsidP="00A365ED">
      <w:pPr>
        <w:spacing w:after="0" w:afterAutospacing="0"/>
        <w:rPr>
          <w:bCs/>
          <w:sz w:val="20"/>
        </w:rPr>
      </w:pPr>
      <w:r>
        <w:rPr>
          <w:bCs/>
          <w:sz w:val="20"/>
        </w:rPr>
        <w:t xml:space="preserve">This contribution discusses </w:t>
      </w:r>
      <w:r w:rsidR="00B313AB">
        <w:rPr>
          <w:bCs/>
          <w:sz w:val="20"/>
        </w:rPr>
        <w:t>the</w:t>
      </w:r>
      <w:r>
        <w:rPr>
          <w:bCs/>
          <w:sz w:val="20"/>
        </w:rPr>
        <w:t xml:space="preserve"> remain</w:t>
      </w:r>
      <w:r w:rsidR="00B313AB">
        <w:rPr>
          <w:bCs/>
          <w:sz w:val="20"/>
        </w:rPr>
        <w:t>ing issues in the following RAN1 topics</w:t>
      </w:r>
      <w:r>
        <w:rPr>
          <w:bCs/>
          <w:sz w:val="20"/>
        </w:rPr>
        <w:t xml:space="preserve">: </w:t>
      </w:r>
    </w:p>
    <w:p w:rsidR="0065113A" w:rsidRDefault="00B313AB" w:rsidP="0065113A">
      <w:pPr>
        <w:pStyle w:val="ListParagraph"/>
        <w:numPr>
          <w:ilvl w:val="0"/>
          <w:numId w:val="31"/>
        </w:numPr>
        <w:spacing w:after="0" w:afterAutospacing="0"/>
        <w:ind w:firstLineChars="0"/>
        <w:rPr>
          <w:bCs/>
        </w:rPr>
      </w:pPr>
      <w:r>
        <w:rPr>
          <w:bCs/>
          <w:lang w:val="en-GB"/>
        </w:rPr>
        <w:t>Initial r</w:t>
      </w:r>
      <w:r w:rsidR="0065113A">
        <w:rPr>
          <w:bCs/>
        </w:rPr>
        <w:t>andom access</w:t>
      </w:r>
      <w:r>
        <w:rPr>
          <w:bCs/>
        </w:rPr>
        <w:t xml:space="preserve"> by a UE that can choose from SUL and normal NR UL</w:t>
      </w:r>
      <w:r w:rsidR="00E06EBD">
        <w:rPr>
          <w:bCs/>
        </w:rPr>
        <w:t xml:space="preserve"> for PRACH transmission</w:t>
      </w:r>
      <w:r w:rsidR="0065113A">
        <w:rPr>
          <w:bCs/>
        </w:rPr>
        <w:t xml:space="preserve">. </w:t>
      </w:r>
    </w:p>
    <w:p w:rsidR="0065113A" w:rsidRDefault="00B313AB" w:rsidP="0065113A">
      <w:pPr>
        <w:pStyle w:val="ListParagraph"/>
        <w:numPr>
          <w:ilvl w:val="0"/>
          <w:numId w:val="31"/>
        </w:numPr>
        <w:spacing w:after="0" w:afterAutospacing="0"/>
        <w:ind w:firstLineChars="0"/>
        <w:rPr>
          <w:bCs/>
        </w:rPr>
      </w:pPr>
      <w:r>
        <w:rPr>
          <w:bCs/>
        </w:rPr>
        <w:t>D</w:t>
      </w:r>
      <w:r w:rsidR="0065113A">
        <w:rPr>
          <w:bCs/>
        </w:rPr>
        <w:t xml:space="preserve">ifferent numerologies between DL and SUL in the same PUCCH group. </w:t>
      </w:r>
    </w:p>
    <w:p w:rsidR="0065113A" w:rsidRPr="0065113A" w:rsidRDefault="00B313AB" w:rsidP="0065113A">
      <w:pPr>
        <w:pStyle w:val="ListParagraph"/>
        <w:numPr>
          <w:ilvl w:val="0"/>
          <w:numId w:val="31"/>
        </w:numPr>
        <w:spacing w:after="0" w:afterAutospacing="0"/>
        <w:ind w:firstLineChars="0"/>
        <w:rPr>
          <w:bCs/>
        </w:rPr>
      </w:pPr>
      <w:r>
        <w:rPr>
          <w:bCs/>
        </w:rPr>
        <w:t>Harmonics interference in NR-LTE DC</w:t>
      </w:r>
      <w:r w:rsidR="0065113A">
        <w:rPr>
          <w:bCs/>
        </w:rPr>
        <w:t xml:space="preserve">.  </w:t>
      </w:r>
    </w:p>
    <w:p w:rsidR="00007350" w:rsidRDefault="00B313AB" w:rsidP="00007350">
      <w:pPr>
        <w:pStyle w:val="Heading1"/>
        <w:tabs>
          <w:tab w:val="clear" w:pos="450"/>
          <w:tab w:val="num" w:pos="0"/>
        </w:tabs>
        <w:snapToGrid w:val="0"/>
        <w:spacing w:after="120" w:afterAutospacing="0"/>
        <w:ind w:left="0" w:firstLine="0"/>
        <w:rPr>
          <w:rFonts w:cs="Arial"/>
          <w:b/>
          <w:lang w:val="en-US"/>
        </w:rPr>
      </w:pPr>
      <w:r>
        <w:rPr>
          <w:rFonts w:cs="Arial"/>
          <w:b/>
          <w:lang w:val="en-US"/>
        </w:rPr>
        <w:t xml:space="preserve">Initial random access in existence of </w:t>
      </w:r>
      <w:r w:rsidR="0065113A">
        <w:rPr>
          <w:rFonts w:cs="Arial"/>
          <w:b/>
          <w:lang w:val="en-US"/>
        </w:rPr>
        <w:t>SUL</w:t>
      </w:r>
    </w:p>
    <w:p w:rsidR="007F56FC" w:rsidRDefault="00AF2EEF" w:rsidP="00546B15">
      <w:pPr>
        <w:spacing w:after="120" w:afterAutospacing="0"/>
        <w:jc w:val="both"/>
        <w:rPr>
          <w:bCs/>
          <w:sz w:val="20"/>
        </w:rPr>
      </w:pPr>
      <w:r>
        <w:rPr>
          <w:bCs/>
          <w:noProof/>
          <w:sz w:val="20"/>
          <w:lang w:val="en-US" w:eastAsia="zh-CN"/>
        </w:rPr>
        <w:pict>
          <v:shapetype id="_x0000_t202" coordsize="21600,21600" o:spt="202" path="m,l,21600r21600,l21600,xe">
            <v:stroke joinstyle="miter"/>
            <v:path gradientshapeok="t" o:connecttype="rect"/>
          </v:shapetype>
          <v:shape id="_x0000_s1026" type="#_x0000_t202" style="position:absolute;left:0;text-align:left;margin-left:0;margin-top:19.15pt;width:455.8pt;height:209.1pt;z-index:251658240">
            <v:textbox inset="5.85pt,.7pt,5.85pt,.7pt">
              <w:txbxContent>
                <w:p w:rsidR="00167A0B" w:rsidRPr="0089396B" w:rsidRDefault="00167A0B" w:rsidP="0089396B">
                  <w:pPr>
                    <w:spacing w:after="0" w:afterAutospacing="0"/>
                    <w:rPr>
                      <w:rFonts w:eastAsia="MS Mincho"/>
                      <w:sz w:val="20"/>
                    </w:rPr>
                  </w:pPr>
                  <w:r w:rsidRPr="0089396B">
                    <w:rPr>
                      <w:rFonts w:eastAsia="MS Mincho"/>
                      <w:sz w:val="20"/>
                      <w:highlight w:val="green"/>
                    </w:rPr>
                    <w:t>Agreements</w:t>
                  </w:r>
                  <w:r w:rsidRPr="0089396B">
                    <w:rPr>
                      <w:rFonts w:eastAsia="MS Mincho"/>
                      <w:sz w:val="20"/>
                    </w:rPr>
                    <w:t>:</w:t>
                  </w:r>
                </w:p>
                <w:p w:rsidR="00167A0B" w:rsidRPr="0089396B" w:rsidRDefault="00167A0B" w:rsidP="0089396B">
                  <w:pPr>
                    <w:pStyle w:val="ListParagraph"/>
                    <w:numPr>
                      <w:ilvl w:val="0"/>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For NR UE initial access based on RACH configuration for an SUL carrier</w:t>
                  </w:r>
                </w:p>
                <w:p w:rsidR="00167A0B" w:rsidRPr="0089396B" w:rsidRDefault="00167A0B" w:rsidP="0089396B">
                  <w:pPr>
                    <w:pStyle w:val="ListParagraph"/>
                    <w:numPr>
                      <w:ilvl w:val="1"/>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RACH configuration for the SUL carrier is broadcasted in RMSI</w:t>
                  </w:r>
                </w:p>
                <w:p w:rsidR="00167A0B" w:rsidRPr="0089396B" w:rsidRDefault="00167A0B" w:rsidP="0089396B">
                  <w:pPr>
                    <w:pStyle w:val="ListParagraph"/>
                    <w:numPr>
                      <w:ilvl w:val="1"/>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The configuration information for the SUL carrier is sufficient for UEs to complete RACH procedure via only that SUL carrier</w:t>
                  </w:r>
                </w:p>
                <w:p w:rsidR="00167A0B" w:rsidRPr="0089396B" w:rsidRDefault="00167A0B" w:rsidP="0089396B">
                  <w:pPr>
                    <w:pStyle w:val="ListParagraph"/>
                    <w:numPr>
                      <w:ilvl w:val="2"/>
                      <w:numId w:val="32"/>
                    </w:numPr>
                    <w:tabs>
                      <w:tab w:val="left" w:pos="1440"/>
                    </w:tabs>
                    <w:overflowPunct w:val="0"/>
                    <w:autoSpaceDE w:val="0"/>
                    <w:autoSpaceDN w:val="0"/>
                    <w:adjustRightInd w:val="0"/>
                    <w:spacing w:after="0" w:afterAutospacing="0"/>
                    <w:ind w:left="1440" w:firstLineChars="0"/>
                    <w:contextualSpacing/>
                    <w:textAlignment w:val="baseline"/>
                    <w:rPr>
                      <w:rFonts w:eastAsia="MS Mincho"/>
                      <w:szCs w:val="20"/>
                    </w:rPr>
                  </w:pPr>
                  <w:r w:rsidRPr="0089396B">
                    <w:rPr>
                      <w:rFonts w:eastAsia="MS Mincho"/>
                      <w:iCs/>
                      <w:szCs w:val="20"/>
                    </w:rPr>
                    <w:t>In particular the configuration information includes all necessary power control parameters</w:t>
                  </w:r>
                </w:p>
                <w:p w:rsidR="00167A0B" w:rsidRPr="0089396B" w:rsidRDefault="00167A0B" w:rsidP="0089396B">
                  <w:pPr>
                    <w:pStyle w:val="ListParagraph"/>
                    <w:numPr>
                      <w:ilvl w:val="1"/>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The configuration information for the SUL carrier includes a threshold. The UE selects that SUL carrier for initial access if and only if the RSRP measured by the UE on the DL carrier where the UE receives RMSI is lower than the threshold</w:t>
                  </w:r>
                </w:p>
                <w:p w:rsidR="00167A0B" w:rsidRPr="0089396B" w:rsidRDefault="00167A0B" w:rsidP="0089396B">
                  <w:pPr>
                    <w:pStyle w:val="ListParagraph"/>
                    <w:numPr>
                      <w:ilvl w:val="1"/>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If the UE starts its RACH procedure on the SUL carrier, then the RACH procedure is completed with all uplink transmission taking place on that carrier</w:t>
                  </w:r>
                </w:p>
                <w:p w:rsidR="00167A0B" w:rsidRPr="0089396B" w:rsidRDefault="00167A0B" w:rsidP="0089396B">
                  <w:pPr>
                    <w:pStyle w:val="ListParagraph"/>
                    <w:numPr>
                      <w:ilvl w:val="0"/>
                      <w:numId w:val="32"/>
                    </w:numPr>
                    <w:tabs>
                      <w:tab w:val="left" w:pos="1440"/>
                    </w:tabs>
                    <w:overflowPunct w:val="0"/>
                    <w:autoSpaceDE w:val="0"/>
                    <w:autoSpaceDN w:val="0"/>
                    <w:adjustRightInd w:val="0"/>
                    <w:spacing w:after="0" w:afterAutospacing="0"/>
                    <w:ind w:firstLineChars="0"/>
                    <w:contextualSpacing/>
                    <w:textAlignment w:val="baseline"/>
                    <w:rPr>
                      <w:rFonts w:eastAsia="MS Mincho"/>
                      <w:szCs w:val="20"/>
                    </w:rPr>
                  </w:pPr>
                  <w:r w:rsidRPr="0089396B">
                    <w:rPr>
                      <w:rFonts w:eastAsia="MS Mincho"/>
                      <w:iCs/>
                      <w:szCs w:val="20"/>
                    </w:rPr>
                    <w:t>It is expected that the network would be able to request a connected-mode UE to initiate a RACH procedure towards any uplink carrier for path-loss and timing-advance acquisition</w:t>
                  </w:r>
                </w:p>
                <w:p w:rsidR="00167A0B" w:rsidRPr="007F56FC" w:rsidRDefault="00167A0B">
                  <w:pPr>
                    <w:rPr>
                      <w:lang w:val="en-US"/>
                    </w:rPr>
                  </w:pPr>
                </w:p>
              </w:txbxContent>
            </v:textbox>
          </v:shape>
        </w:pict>
      </w:r>
      <w:r w:rsidR="00B313AB">
        <w:rPr>
          <w:bCs/>
          <w:sz w:val="20"/>
        </w:rPr>
        <w:t xml:space="preserve">RAN1 agreed following </w:t>
      </w:r>
      <w:r w:rsidR="004024ED">
        <w:rPr>
          <w:bCs/>
          <w:sz w:val="20"/>
        </w:rPr>
        <w:t xml:space="preserve">in RAN1 #90 </w:t>
      </w:r>
      <w:r w:rsidR="00B313AB">
        <w:rPr>
          <w:bCs/>
          <w:sz w:val="20"/>
        </w:rPr>
        <w:t xml:space="preserve">for </w:t>
      </w:r>
      <w:r w:rsidR="004C72D1">
        <w:rPr>
          <w:bCs/>
          <w:sz w:val="20"/>
        </w:rPr>
        <w:t>the initial random access</w:t>
      </w:r>
      <w:r w:rsidR="00917679">
        <w:rPr>
          <w:bCs/>
          <w:sz w:val="20"/>
        </w:rPr>
        <w:t xml:space="preserve"> </w:t>
      </w:r>
      <w:r>
        <w:rPr>
          <w:bCs/>
          <w:sz w:val="20"/>
        </w:rPr>
        <w:fldChar w:fldCharType="begin"/>
      </w:r>
      <w:r w:rsidR="00917679">
        <w:rPr>
          <w:bCs/>
          <w:sz w:val="20"/>
        </w:rPr>
        <w:instrText xml:space="preserve"> REF _Ref494661144 \r \h </w:instrText>
      </w:r>
      <w:r>
        <w:rPr>
          <w:bCs/>
          <w:sz w:val="20"/>
        </w:rPr>
      </w:r>
      <w:r>
        <w:rPr>
          <w:bCs/>
          <w:sz w:val="20"/>
        </w:rPr>
        <w:fldChar w:fldCharType="separate"/>
      </w:r>
      <w:r w:rsidR="00917679">
        <w:rPr>
          <w:bCs/>
          <w:sz w:val="20"/>
        </w:rPr>
        <w:t>[1]</w:t>
      </w:r>
      <w:r>
        <w:rPr>
          <w:bCs/>
          <w:sz w:val="20"/>
        </w:rPr>
        <w:fldChar w:fldCharType="end"/>
      </w:r>
      <w:r w:rsidR="007F56FC">
        <w:rPr>
          <w:bCs/>
          <w:sz w:val="20"/>
        </w:rPr>
        <w:t>:</w:t>
      </w:r>
    </w:p>
    <w:p w:rsidR="007F56FC" w:rsidRDefault="007F56FC" w:rsidP="00546B15">
      <w:pPr>
        <w:spacing w:after="120" w:afterAutospacing="0"/>
        <w:jc w:val="both"/>
        <w:rPr>
          <w:bCs/>
          <w:sz w:val="20"/>
        </w:rPr>
      </w:pPr>
    </w:p>
    <w:p w:rsidR="00546B15" w:rsidRDefault="00885E25" w:rsidP="00546B15">
      <w:pPr>
        <w:spacing w:after="120" w:afterAutospacing="0"/>
        <w:jc w:val="both"/>
        <w:rPr>
          <w:bCs/>
          <w:sz w:val="20"/>
        </w:rPr>
      </w:pPr>
      <w:r>
        <w:rPr>
          <w:bCs/>
          <w:sz w:val="20"/>
        </w:rPr>
        <w:t xml:space="preserve"> </w:t>
      </w:r>
    </w:p>
    <w:p w:rsidR="00C200C3" w:rsidRDefault="009A013B" w:rsidP="00546B15">
      <w:pPr>
        <w:spacing w:after="120" w:afterAutospacing="0"/>
        <w:jc w:val="both"/>
        <w:rPr>
          <w:bCs/>
          <w:sz w:val="20"/>
        </w:rPr>
      </w:pPr>
      <w:r w:rsidRPr="00885230">
        <w:rPr>
          <w:bCs/>
          <w:sz w:val="20"/>
        </w:rPr>
        <w:t xml:space="preserve"> </w:t>
      </w:r>
    </w:p>
    <w:p w:rsidR="007F56FC" w:rsidRDefault="007F56FC" w:rsidP="00546B15">
      <w:pPr>
        <w:spacing w:after="120" w:afterAutospacing="0"/>
        <w:jc w:val="both"/>
        <w:rPr>
          <w:bCs/>
          <w:sz w:val="20"/>
        </w:rPr>
      </w:pPr>
    </w:p>
    <w:p w:rsidR="007F56FC" w:rsidRDefault="007F56FC" w:rsidP="00546B15">
      <w:pPr>
        <w:spacing w:after="120" w:afterAutospacing="0"/>
        <w:jc w:val="both"/>
        <w:rPr>
          <w:bCs/>
          <w:sz w:val="20"/>
        </w:rPr>
      </w:pPr>
    </w:p>
    <w:p w:rsidR="007F56FC" w:rsidRDefault="007F56FC" w:rsidP="00546B15">
      <w:pPr>
        <w:spacing w:after="120" w:afterAutospacing="0"/>
        <w:jc w:val="both"/>
        <w:rPr>
          <w:bCs/>
          <w:sz w:val="20"/>
        </w:rPr>
      </w:pPr>
    </w:p>
    <w:p w:rsidR="007F56FC" w:rsidRDefault="007F56FC" w:rsidP="00546B15">
      <w:pPr>
        <w:spacing w:after="120" w:afterAutospacing="0"/>
        <w:jc w:val="both"/>
        <w:rPr>
          <w:bCs/>
          <w:sz w:val="20"/>
        </w:rPr>
      </w:pPr>
    </w:p>
    <w:p w:rsidR="0089396B" w:rsidRDefault="0089396B" w:rsidP="00546B15">
      <w:pPr>
        <w:spacing w:after="120" w:afterAutospacing="0"/>
        <w:jc w:val="both"/>
        <w:rPr>
          <w:bCs/>
          <w:sz w:val="20"/>
        </w:rPr>
      </w:pPr>
    </w:p>
    <w:p w:rsidR="0089396B" w:rsidRDefault="0089396B" w:rsidP="00546B15">
      <w:pPr>
        <w:spacing w:after="120" w:afterAutospacing="0"/>
        <w:jc w:val="both"/>
        <w:rPr>
          <w:bCs/>
          <w:sz w:val="20"/>
        </w:rPr>
      </w:pPr>
    </w:p>
    <w:p w:rsidR="0089396B" w:rsidRDefault="0089396B" w:rsidP="00546B15">
      <w:pPr>
        <w:spacing w:after="120" w:afterAutospacing="0"/>
        <w:jc w:val="both"/>
        <w:rPr>
          <w:bCs/>
          <w:sz w:val="20"/>
        </w:rPr>
      </w:pPr>
    </w:p>
    <w:p w:rsidR="00E06EBD" w:rsidRDefault="00494A64" w:rsidP="00546B15">
      <w:pPr>
        <w:spacing w:after="120" w:afterAutospacing="0"/>
        <w:jc w:val="both"/>
        <w:rPr>
          <w:rFonts w:eastAsia="MS Mincho"/>
          <w:iCs/>
          <w:sz w:val="20"/>
        </w:rPr>
      </w:pPr>
      <w:r>
        <w:rPr>
          <w:bCs/>
          <w:sz w:val="20"/>
        </w:rPr>
        <w:t xml:space="preserve">Given SUL is selected for initial access </w:t>
      </w:r>
      <w:r w:rsidRPr="00494A64">
        <w:rPr>
          <w:bCs/>
          <w:i/>
          <w:sz w:val="20"/>
        </w:rPr>
        <w:t>if and only if</w:t>
      </w:r>
      <w:r>
        <w:rPr>
          <w:bCs/>
          <w:sz w:val="20"/>
        </w:rPr>
        <w:t xml:space="preserve"> the DL RSRP is lower </w:t>
      </w:r>
      <w:r w:rsidR="005147FC">
        <w:rPr>
          <w:bCs/>
          <w:sz w:val="20"/>
        </w:rPr>
        <w:t xml:space="preserve">than the </w:t>
      </w:r>
      <w:r w:rsidR="00E06EBD">
        <w:rPr>
          <w:bCs/>
          <w:sz w:val="20"/>
        </w:rPr>
        <w:t>configured</w:t>
      </w:r>
      <w:r w:rsidR="005147FC">
        <w:rPr>
          <w:bCs/>
          <w:sz w:val="20"/>
        </w:rPr>
        <w:t xml:space="preserve"> threshold, it equivalently means the NR normal UL is selected for initial access </w:t>
      </w:r>
      <w:r w:rsidR="005147FC" w:rsidRPr="00494A64">
        <w:rPr>
          <w:bCs/>
          <w:i/>
          <w:sz w:val="20"/>
        </w:rPr>
        <w:t>if and only if</w:t>
      </w:r>
      <w:r w:rsidR="005147FC">
        <w:rPr>
          <w:bCs/>
          <w:sz w:val="20"/>
        </w:rPr>
        <w:t xml:space="preserve"> the DL RSRP is above the </w:t>
      </w:r>
      <w:r w:rsidR="00E06EBD">
        <w:rPr>
          <w:bCs/>
          <w:sz w:val="20"/>
        </w:rPr>
        <w:t>configured</w:t>
      </w:r>
      <w:r w:rsidR="005147FC">
        <w:rPr>
          <w:bCs/>
          <w:sz w:val="20"/>
        </w:rPr>
        <w:t xml:space="preserve"> threshold. In addition, the above agreement indicates that during the time between starting of RACH procedure and completion of RACH procedure, UE would not perform </w:t>
      </w:r>
      <w:r w:rsidR="00BB7A29">
        <w:rPr>
          <w:bCs/>
          <w:sz w:val="20"/>
        </w:rPr>
        <w:t xml:space="preserve">another UL carrier selection for RACH procedure even if the DL RSRP becomes higher than the threshold. In order to unify the RACH procedure regardless of UL carrier to be selected, the similar logic should apply to the case in which the NR normal UL is selected for initial RACH </w:t>
      </w:r>
      <w:r w:rsidR="00BB7A29" w:rsidRPr="00BB7A29">
        <w:rPr>
          <w:bCs/>
          <w:sz w:val="20"/>
        </w:rPr>
        <w:t xml:space="preserve">procedure: </w:t>
      </w:r>
      <w:r w:rsidR="00BB7A29" w:rsidRPr="00BB7A29">
        <w:rPr>
          <w:rFonts w:eastAsia="MS Mincho"/>
          <w:i/>
          <w:iCs/>
          <w:sz w:val="20"/>
        </w:rPr>
        <w:t>If the UE starts its RACH procedure on the NR normal UL, the RACH procedure is completed with all uplink transmission taking place on that carrier.</w:t>
      </w:r>
      <w:r w:rsidR="00BB7A29">
        <w:rPr>
          <w:rFonts w:eastAsia="MS Mincho"/>
          <w:iCs/>
          <w:sz w:val="20"/>
        </w:rPr>
        <w:t xml:space="preserve"> </w:t>
      </w:r>
      <w:r w:rsidR="00E06EBD">
        <w:rPr>
          <w:rFonts w:eastAsia="MS Mincho"/>
          <w:iCs/>
          <w:sz w:val="20"/>
        </w:rPr>
        <w:t xml:space="preserve">It should be noted that the above agreement only meant to describe the relation between PRACH carrier selection and comparison of RSRP against a threshold. It should not exclude other sufficient conditions for selecting SUL as carrier to transmit PRACH, for </w:t>
      </w:r>
      <w:r w:rsidR="00E06EBD">
        <w:rPr>
          <w:rFonts w:eastAsia="MS Mincho"/>
          <w:iCs/>
          <w:sz w:val="20"/>
        </w:rPr>
        <w:lastRenderedPageBreak/>
        <w:t xml:space="preserve">example, UE needs to support SUL operation and also to support the corresponding SUL band in order to transmit PRACH on SUL. </w:t>
      </w:r>
    </w:p>
    <w:p w:rsidR="00BB7A29" w:rsidRDefault="00511234" w:rsidP="00546B15">
      <w:pPr>
        <w:spacing w:after="120" w:afterAutospacing="0"/>
        <w:jc w:val="both"/>
        <w:rPr>
          <w:bCs/>
          <w:sz w:val="20"/>
        </w:rPr>
      </w:pPr>
      <w:r>
        <w:rPr>
          <w:bCs/>
          <w:sz w:val="20"/>
        </w:rPr>
        <w:t xml:space="preserve">Another issue that should be clarified is that the “completion” </w:t>
      </w:r>
      <w:r w:rsidR="003E27DD">
        <w:rPr>
          <w:bCs/>
          <w:sz w:val="20"/>
        </w:rPr>
        <w:t xml:space="preserve">in the </w:t>
      </w:r>
      <w:r w:rsidR="003E27DD" w:rsidRPr="003E27DD">
        <w:rPr>
          <w:bCs/>
          <w:sz w:val="20"/>
        </w:rPr>
        <w:t>context of “</w:t>
      </w:r>
      <w:r w:rsidR="003E27DD" w:rsidRPr="003E27DD">
        <w:rPr>
          <w:rFonts w:eastAsia="MS Mincho"/>
          <w:iCs/>
          <w:sz w:val="20"/>
        </w:rPr>
        <w:t>the RACH procedure is completed with all uplink transmission taking place on that carrier</w:t>
      </w:r>
      <w:r w:rsidR="003E27DD" w:rsidRPr="003E27DD">
        <w:rPr>
          <w:bCs/>
          <w:sz w:val="20"/>
        </w:rPr>
        <w:t>”</w:t>
      </w:r>
      <w:r w:rsidR="003E27DD">
        <w:rPr>
          <w:bCs/>
          <w:sz w:val="20"/>
        </w:rPr>
        <w:t xml:space="preserve"> </w:t>
      </w:r>
      <w:r w:rsidR="00B76393">
        <w:rPr>
          <w:bCs/>
          <w:sz w:val="20"/>
        </w:rPr>
        <w:t>should refer</w:t>
      </w:r>
      <w:r w:rsidR="003E27DD">
        <w:rPr>
          <w:bCs/>
          <w:sz w:val="20"/>
        </w:rPr>
        <w:t xml:space="preserve"> to the status that the RACH procedure either succeeds or fails</w:t>
      </w:r>
      <w:r w:rsidR="00B76393">
        <w:rPr>
          <w:bCs/>
          <w:sz w:val="20"/>
        </w:rPr>
        <w:t xml:space="preserve"> (due to the preamble transmission counter exceeding</w:t>
      </w:r>
      <w:r w:rsidR="00B76393" w:rsidRPr="00B76393">
        <w:rPr>
          <w:bCs/>
          <w:sz w:val="20"/>
        </w:rPr>
        <w:t xml:space="preserve"> </w:t>
      </w:r>
      <w:r w:rsidR="00B76393" w:rsidRPr="00B76393">
        <w:rPr>
          <w:i/>
          <w:sz w:val="20"/>
        </w:rPr>
        <w:t>preambleTransMax</w:t>
      </w:r>
      <w:r w:rsidR="00B76393">
        <w:rPr>
          <w:bCs/>
          <w:sz w:val="20"/>
        </w:rPr>
        <w:t xml:space="preserve">). It is not feasible to guarantee the initial RACH procedure to be successful </w:t>
      </w:r>
      <w:r w:rsidR="00ED43D8">
        <w:rPr>
          <w:bCs/>
          <w:sz w:val="20"/>
        </w:rPr>
        <w:t xml:space="preserve">on SUL </w:t>
      </w:r>
      <w:r w:rsidR="00B76393">
        <w:rPr>
          <w:bCs/>
          <w:sz w:val="20"/>
        </w:rPr>
        <w:t xml:space="preserve">before </w:t>
      </w:r>
      <w:r w:rsidR="00ED43D8">
        <w:rPr>
          <w:bCs/>
          <w:sz w:val="20"/>
        </w:rPr>
        <w:t>preamble transmission counter exceeds</w:t>
      </w:r>
      <w:r w:rsidR="00ED43D8" w:rsidRPr="00B76393">
        <w:rPr>
          <w:bCs/>
          <w:sz w:val="20"/>
        </w:rPr>
        <w:t xml:space="preserve"> </w:t>
      </w:r>
      <w:r w:rsidR="00ED43D8" w:rsidRPr="00B76393">
        <w:rPr>
          <w:i/>
          <w:sz w:val="20"/>
        </w:rPr>
        <w:t>preambleTransMax</w:t>
      </w:r>
      <w:r w:rsidR="00ED43D8">
        <w:rPr>
          <w:bCs/>
          <w:sz w:val="20"/>
        </w:rPr>
        <w:t>. This is not only because of potential failure of contention resolution within NR</w:t>
      </w:r>
      <w:r w:rsidR="00D708CB">
        <w:rPr>
          <w:bCs/>
          <w:sz w:val="20"/>
        </w:rPr>
        <w:t xml:space="preserve"> system</w:t>
      </w:r>
      <w:r w:rsidR="00ED43D8">
        <w:rPr>
          <w:bCs/>
          <w:sz w:val="20"/>
        </w:rPr>
        <w:t xml:space="preserve">, </w:t>
      </w:r>
      <w:r w:rsidR="00D708CB">
        <w:rPr>
          <w:bCs/>
          <w:sz w:val="20"/>
        </w:rPr>
        <w:t xml:space="preserve">but also because of </w:t>
      </w:r>
      <w:r w:rsidR="002230A4">
        <w:rPr>
          <w:bCs/>
          <w:sz w:val="20"/>
        </w:rPr>
        <w:t xml:space="preserve">possible </w:t>
      </w:r>
      <w:r w:rsidR="00D708CB">
        <w:rPr>
          <w:bCs/>
          <w:sz w:val="20"/>
        </w:rPr>
        <w:t>interfering from LTE system sharing the SUL</w:t>
      </w:r>
      <w:r w:rsidR="002230A4">
        <w:rPr>
          <w:bCs/>
          <w:sz w:val="20"/>
        </w:rPr>
        <w:t xml:space="preserve"> if X2/Xn interface signalling between eNB and gNB is not mandated. </w:t>
      </w:r>
    </w:p>
    <w:p w:rsidR="002230A4" w:rsidRPr="00011961" w:rsidRDefault="002230A4" w:rsidP="002230A4">
      <w:pPr>
        <w:pStyle w:val="ListParagraph"/>
        <w:spacing w:after="120" w:afterAutospacing="0"/>
        <w:ind w:firstLineChars="0" w:firstLine="0"/>
        <w:jc w:val="both"/>
        <w:rPr>
          <w:rFonts w:eastAsia="MS Mincho"/>
          <w:b/>
          <w:i/>
          <w:iCs/>
        </w:rPr>
      </w:pPr>
      <w:r w:rsidRPr="00011961">
        <w:rPr>
          <w:b/>
          <w:bCs/>
          <w:i/>
          <w:lang w:val="en-GB"/>
        </w:rPr>
        <w:t xml:space="preserve">Proposal 1: To extend the agreement in RAN1 #90 such that, </w:t>
      </w:r>
      <w:r w:rsidRPr="00011961">
        <w:rPr>
          <w:rFonts w:eastAsia="MS Mincho"/>
          <w:b/>
          <w:i/>
          <w:iCs/>
        </w:rPr>
        <w:t xml:space="preserve">if the UE starts its initial RACH procedure on a UL carrier (regardless of SUL or NR normal UL), the initial RACH procedure is completed with all uplink transmission taking place on that carrier, where the “completion” means the initial RACH procedure either succeeds or fails.  </w:t>
      </w:r>
    </w:p>
    <w:p w:rsidR="0065113A" w:rsidRDefault="0065113A" w:rsidP="00877387">
      <w:pPr>
        <w:pStyle w:val="Heading1"/>
        <w:tabs>
          <w:tab w:val="clear" w:pos="450"/>
          <w:tab w:val="num" w:pos="0"/>
        </w:tabs>
        <w:snapToGrid w:val="0"/>
        <w:spacing w:after="120" w:afterAutospacing="0"/>
        <w:ind w:left="0" w:firstLine="0"/>
        <w:rPr>
          <w:rFonts w:cs="Arial"/>
          <w:b/>
          <w:lang w:val="en-US"/>
        </w:rPr>
      </w:pPr>
      <w:r>
        <w:rPr>
          <w:rFonts w:cs="Arial"/>
          <w:b/>
          <w:lang w:val="en-US"/>
        </w:rPr>
        <w:t>Different numerologies between DL and SUL</w:t>
      </w:r>
    </w:p>
    <w:p w:rsidR="00B56BD1" w:rsidRPr="00917679" w:rsidRDefault="00AF2EEF" w:rsidP="00B56BD1">
      <w:pPr>
        <w:rPr>
          <w:sz w:val="20"/>
          <w:lang w:val="en-US"/>
        </w:rPr>
      </w:pPr>
      <w:r>
        <w:rPr>
          <w:noProof/>
          <w:sz w:val="20"/>
          <w:lang w:val="en-US" w:eastAsia="zh-CN"/>
        </w:rPr>
        <w:pict>
          <v:shape id="_x0000_s1027" type="#_x0000_t202" style="position:absolute;margin-left:1.9pt;margin-top:20.45pt;width:455.15pt;height:175.95pt;z-index:251659264">
            <v:textbox inset="5.85pt,.7pt,5.85pt,.7pt">
              <w:txbxContent>
                <w:p w:rsidR="00167A0B" w:rsidRPr="00830A98" w:rsidRDefault="00167A0B" w:rsidP="00830A98">
                  <w:pPr>
                    <w:spacing w:after="0" w:afterAutospacing="0"/>
                    <w:rPr>
                      <w:b/>
                      <w:sz w:val="20"/>
                      <w:highlight w:val="green"/>
                      <w:u w:val="single"/>
                    </w:rPr>
                  </w:pPr>
                  <w:r w:rsidRPr="00830A98">
                    <w:rPr>
                      <w:b/>
                      <w:sz w:val="20"/>
                      <w:highlight w:val="green"/>
                      <w:u w:val="single"/>
                    </w:rPr>
                    <w:t>Agreement:</w:t>
                  </w:r>
                </w:p>
                <w:p w:rsidR="00167A0B" w:rsidRPr="00830A98" w:rsidRDefault="00167A0B" w:rsidP="00830A98">
                  <w:pPr>
                    <w:numPr>
                      <w:ilvl w:val="0"/>
                      <w:numId w:val="35"/>
                    </w:numPr>
                    <w:spacing w:after="0" w:afterAutospacing="0"/>
                    <w:rPr>
                      <w:sz w:val="20"/>
                    </w:rPr>
                  </w:pPr>
                  <w:r w:rsidRPr="00830A98">
                    <w:rPr>
                      <w:sz w:val="20"/>
                      <w:highlight w:val="darkYellow"/>
                      <w:lang w:val="en-US"/>
                    </w:rPr>
                    <w:t xml:space="preserve">Working Assumption </w:t>
                  </w:r>
                  <w:r w:rsidRPr="00830A98">
                    <w:rPr>
                      <w:sz w:val="20"/>
                      <w:lang w:val="en-US"/>
                    </w:rPr>
                    <w:t>that, an UL carrier can use a subcarrier spacing smaller than the subcarrier spacing of the associated DL carrier, in the following cases:</w:t>
                  </w:r>
                </w:p>
                <w:p w:rsidR="00167A0B" w:rsidRPr="00830A98" w:rsidRDefault="00167A0B" w:rsidP="00830A98">
                  <w:pPr>
                    <w:numPr>
                      <w:ilvl w:val="2"/>
                      <w:numId w:val="35"/>
                    </w:numPr>
                    <w:tabs>
                      <w:tab w:val="clear" w:pos="1800"/>
                      <w:tab w:val="num" w:pos="1440"/>
                    </w:tabs>
                    <w:spacing w:after="0" w:afterAutospacing="0"/>
                    <w:ind w:left="1440"/>
                    <w:rPr>
                      <w:sz w:val="20"/>
                    </w:rPr>
                  </w:pPr>
                  <w:r w:rsidRPr="00830A98">
                    <w:rPr>
                      <w:sz w:val="20"/>
                      <w:lang w:val="en-US"/>
                    </w:rPr>
                    <w:t>The carriers are in different PUCCH groups, or</w:t>
                  </w:r>
                </w:p>
                <w:p w:rsidR="00167A0B" w:rsidRPr="00830A98" w:rsidRDefault="00167A0B" w:rsidP="00830A98">
                  <w:pPr>
                    <w:numPr>
                      <w:ilvl w:val="2"/>
                      <w:numId w:val="35"/>
                    </w:numPr>
                    <w:tabs>
                      <w:tab w:val="clear" w:pos="1800"/>
                      <w:tab w:val="num" w:pos="1440"/>
                    </w:tabs>
                    <w:spacing w:after="0" w:afterAutospacing="0"/>
                    <w:ind w:left="1440"/>
                    <w:rPr>
                      <w:sz w:val="20"/>
                    </w:rPr>
                  </w:pPr>
                  <w:r w:rsidRPr="00830A98">
                    <w:rPr>
                      <w:sz w:val="20"/>
                      <w:lang w:val="en-US"/>
                    </w:rPr>
                    <w:t>The UL carrier is operating in a SUL band combination as defined in RAN4 specifications</w:t>
                  </w:r>
                </w:p>
                <w:p w:rsidR="00167A0B" w:rsidRPr="00830A98" w:rsidRDefault="00167A0B" w:rsidP="00830A98">
                  <w:pPr>
                    <w:numPr>
                      <w:ilvl w:val="1"/>
                      <w:numId w:val="35"/>
                    </w:numPr>
                    <w:spacing w:after="0" w:afterAutospacing="0"/>
                    <w:rPr>
                      <w:sz w:val="20"/>
                    </w:rPr>
                  </w:pPr>
                  <w:r w:rsidRPr="00830A98">
                    <w:rPr>
                      <w:sz w:val="20"/>
                      <w:lang w:val="en-US"/>
                    </w:rPr>
                    <w:t xml:space="preserve">Can be revisited if technical problems (e.g. with scheduling and CSI feedback) are identified and cannot be resolved by RAN1#91. </w:t>
                  </w:r>
                </w:p>
                <w:p w:rsidR="00167A0B" w:rsidRPr="00830A98" w:rsidRDefault="00167A0B" w:rsidP="00830A98">
                  <w:pPr>
                    <w:numPr>
                      <w:ilvl w:val="1"/>
                      <w:numId w:val="35"/>
                    </w:numPr>
                    <w:spacing w:after="0" w:afterAutospacing="0"/>
                    <w:rPr>
                      <w:sz w:val="20"/>
                    </w:rPr>
                  </w:pPr>
                  <w:r w:rsidRPr="00830A98">
                    <w:rPr>
                      <w:sz w:val="20"/>
                      <w:lang w:val="en-US"/>
                    </w:rPr>
                    <w:t xml:space="preserve">Minimizing specification impact should be the primary consideration in finalising the solution, unless major performance differences exist. </w:t>
                  </w:r>
                </w:p>
                <w:p w:rsidR="00167A0B" w:rsidRPr="00830A98" w:rsidRDefault="00167A0B" w:rsidP="00830A98">
                  <w:pPr>
                    <w:numPr>
                      <w:ilvl w:val="0"/>
                      <w:numId w:val="35"/>
                    </w:numPr>
                    <w:spacing w:after="0" w:afterAutospacing="0"/>
                    <w:rPr>
                      <w:sz w:val="20"/>
                    </w:rPr>
                  </w:pPr>
                  <w:r w:rsidRPr="00830A98">
                    <w:rPr>
                      <w:sz w:val="20"/>
                      <w:lang w:val="en-US"/>
                    </w:rPr>
                    <w:t>An UL carrier can carry UCI for the DL carrier that it supplements</w:t>
                  </w:r>
                </w:p>
                <w:p w:rsidR="00167A0B" w:rsidRPr="00830A98" w:rsidRDefault="00167A0B" w:rsidP="00830A98">
                  <w:pPr>
                    <w:numPr>
                      <w:ilvl w:val="0"/>
                      <w:numId w:val="35"/>
                    </w:numPr>
                    <w:spacing w:after="0" w:afterAutospacing="0"/>
                    <w:rPr>
                      <w:sz w:val="20"/>
                    </w:rPr>
                  </w:pPr>
                  <w:r w:rsidRPr="00830A98">
                    <w:rPr>
                      <w:sz w:val="20"/>
                      <w:lang w:val="en-US"/>
                    </w:rPr>
                    <w:t>An UL carrier is scheduled from the DL carrier that it supplements</w:t>
                  </w:r>
                </w:p>
              </w:txbxContent>
            </v:textbox>
          </v:shape>
        </w:pict>
      </w:r>
      <w:r w:rsidR="00B56BD1" w:rsidRPr="00917679">
        <w:rPr>
          <w:sz w:val="20"/>
          <w:lang w:val="en-US"/>
        </w:rPr>
        <w:t>RAN1 NR AH#3 meeting reached following working assumption for numerologies between NR DL and SUL</w:t>
      </w:r>
      <w:r w:rsidR="00917679">
        <w:rPr>
          <w:sz w:val="20"/>
          <w:lang w:val="en-US"/>
        </w:rPr>
        <w:t xml:space="preserve"> </w:t>
      </w:r>
      <w:r>
        <w:rPr>
          <w:sz w:val="20"/>
          <w:lang w:val="en-US"/>
        </w:rPr>
        <w:fldChar w:fldCharType="begin"/>
      </w:r>
      <w:r w:rsidR="00917679">
        <w:rPr>
          <w:sz w:val="20"/>
          <w:lang w:val="en-US"/>
        </w:rPr>
        <w:instrText xml:space="preserve"> REF _Ref494661170 \r \h </w:instrText>
      </w:r>
      <w:r>
        <w:rPr>
          <w:sz w:val="20"/>
          <w:lang w:val="en-US"/>
        </w:rPr>
      </w:r>
      <w:r>
        <w:rPr>
          <w:sz w:val="20"/>
          <w:lang w:val="en-US"/>
        </w:rPr>
        <w:fldChar w:fldCharType="separate"/>
      </w:r>
      <w:r w:rsidR="00917679">
        <w:rPr>
          <w:sz w:val="20"/>
          <w:lang w:val="en-US"/>
        </w:rPr>
        <w:t>[2]</w:t>
      </w:r>
      <w:r>
        <w:rPr>
          <w:sz w:val="20"/>
          <w:lang w:val="en-US"/>
        </w:rPr>
        <w:fldChar w:fldCharType="end"/>
      </w:r>
      <w:r w:rsidR="00B56BD1" w:rsidRPr="00917679">
        <w:rPr>
          <w:sz w:val="20"/>
          <w:lang w:val="en-US"/>
        </w:rPr>
        <w:t xml:space="preserve">: </w:t>
      </w:r>
    </w:p>
    <w:p w:rsidR="00B56BD1" w:rsidRDefault="00B56BD1" w:rsidP="00B56BD1">
      <w:pPr>
        <w:rPr>
          <w:lang w:val="en-US"/>
        </w:rPr>
      </w:pPr>
    </w:p>
    <w:p w:rsidR="00B56BD1" w:rsidRDefault="00B56BD1" w:rsidP="00B56BD1">
      <w:pPr>
        <w:rPr>
          <w:lang w:val="en-US"/>
        </w:rPr>
      </w:pPr>
    </w:p>
    <w:p w:rsidR="00B56BD1" w:rsidRDefault="00B56BD1" w:rsidP="00B56BD1">
      <w:pPr>
        <w:rPr>
          <w:lang w:val="en-US"/>
        </w:rPr>
      </w:pPr>
    </w:p>
    <w:p w:rsidR="005B0281" w:rsidRDefault="005B0281" w:rsidP="005B0281">
      <w:pPr>
        <w:rPr>
          <w:lang w:val="en-US"/>
        </w:rPr>
      </w:pPr>
    </w:p>
    <w:p w:rsidR="00B56BD1" w:rsidRDefault="00B56BD1" w:rsidP="00B56BD1">
      <w:pPr>
        <w:rPr>
          <w:lang w:val="en-US"/>
        </w:rPr>
      </w:pPr>
    </w:p>
    <w:p w:rsidR="00B56BD1" w:rsidRDefault="00B56BD1" w:rsidP="005B0281">
      <w:pPr>
        <w:spacing w:after="0" w:afterAutospacing="0"/>
        <w:rPr>
          <w:lang w:val="en-US"/>
        </w:rPr>
      </w:pPr>
    </w:p>
    <w:p w:rsidR="00B56BD1" w:rsidRPr="005B0281" w:rsidRDefault="005B0281" w:rsidP="005B0281">
      <w:pPr>
        <w:spacing w:before="120" w:after="0" w:afterAutospacing="0"/>
        <w:rPr>
          <w:sz w:val="20"/>
          <w:lang w:val="en-US"/>
        </w:rPr>
      </w:pPr>
      <w:r w:rsidRPr="005B0281">
        <w:rPr>
          <w:sz w:val="20"/>
          <w:lang w:val="en-US"/>
        </w:rPr>
        <w:t xml:space="preserve">One of the </w:t>
      </w:r>
      <w:r>
        <w:rPr>
          <w:sz w:val="20"/>
          <w:lang w:val="en-US"/>
        </w:rPr>
        <w:t xml:space="preserve">questions that need to be answered for above agreement is which combinations of DL/UL numerologies should be supported. </w:t>
      </w:r>
      <w:r w:rsidR="00083602">
        <w:rPr>
          <w:sz w:val="20"/>
          <w:lang w:val="en-US"/>
        </w:rPr>
        <w:t xml:space="preserve">According to the offline discussion in the earlier meetings, the operators are mainly interested in the SCS combination of 15kHz on SUL and </w:t>
      </w:r>
      <w:r w:rsidR="00777B39">
        <w:rPr>
          <w:sz w:val="20"/>
          <w:lang w:val="en-US"/>
        </w:rPr>
        <w:t xml:space="preserve">30kHz on NR DL. </w:t>
      </w:r>
      <w:r w:rsidR="00F03A5C">
        <w:rPr>
          <w:sz w:val="20"/>
          <w:lang w:val="en-US"/>
        </w:rPr>
        <w:t xml:space="preserve">In addition, the motivation of applying 15kHz SCS to SUL is to allow the resource sharing with LTE uplink, where such uplink sharing is so far restricted to collocation between eNB and gNB. In general, given the UL SCS is 15kHz, the larger the DL SCS, the smaller the DL OFDM CP length and </w:t>
      </w:r>
      <w:r w:rsidR="00D8315B">
        <w:rPr>
          <w:sz w:val="20"/>
          <w:lang w:val="en-US"/>
        </w:rPr>
        <w:t xml:space="preserve">consequently the higher chance to make eNB-gNB collocation a problem. </w:t>
      </w:r>
      <w:r w:rsidR="00DC23C3">
        <w:rPr>
          <w:sz w:val="20"/>
          <w:lang w:val="en-US"/>
        </w:rPr>
        <w:t xml:space="preserve">Therefore, it seems sufficient and safe to only support the combination of 15kHz SCS on UL and 30kHz SCS on DL in case SCS should be different between DL and UL.  </w:t>
      </w:r>
    </w:p>
    <w:p w:rsidR="00B56BD1" w:rsidRPr="00A97C57" w:rsidRDefault="00DC23C3" w:rsidP="00A97C57">
      <w:pPr>
        <w:spacing w:before="120"/>
        <w:rPr>
          <w:b/>
          <w:i/>
          <w:sz w:val="20"/>
          <w:lang w:val="en-US"/>
        </w:rPr>
      </w:pPr>
      <w:r w:rsidRPr="00A97C57">
        <w:rPr>
          <w:b/>
          <w:i/>
          <w:sz w:val="20"/>
          <w:lang w:val="en-US"/>
        </w:rPr>
        <w:t xml:space="preserve">Proposal 2: </w:t>
      </w:r>
      <w:r w:rsidR="00B3566F">
        <w:rPr>
          <w:b/>
          <w:i/>
          <w:sz w:val="20"/>
          <w:lang w:val="en-US"/>
        </w:rPr>
        <w:t xml:space="preserve">For the combination </w:t>
      </w:r>
      <w:r w:rsidRPr="00A97C57">
        <w:rPr>
          <w:b/>
          <w:i/>
          <w:sz w:val="20"/>
          <w:lang w:val="en-US"/>
        </w:rPr>
        <w:t>of different SCS between DL and UL</w:t>
      </w:r>
      <w:r w:rsidR="00B3566F">
        <w:rPr>
          <w:b/>
          <w:i/>
          <w:sz w:val="20"/>
          <w:lang w:val="en-US"/>
        </w:rPr>
        <w:t xml:space="preserve">, NR Rel-15 only supports </w:t>
      </w:r>
      <w:r w:rsidRPr="00A97C57">
        <w:rPr>
          <w:b/>
          <w:i/>
          <w:sz w:val="20"/>
          <w:lang w:val="en-US"/>
        </w:rPr>
        <w:t xml:space="preserve">15kHz SCS on UL and 30kHz SCS on DL.   </w:t>
      </w:r>
    </w:p>
    <w:p w:rsidR="0065113A" w:rsidRDefault="0065113A" w:rsidP="00877387">
      <w:pPr>
        <w:pStyle w:val="Heading1"/>
        <w:tabs>
          <w:tab w:val="clear" w:pos="450"/>
          <w:tab w:val="num" w:pos="0"/>
        </w:tabs>
        <w:snapToGrid w:val="0"/>
        <w:spacing w:after="120" w:afterAutospacing="0"/>
        <w:ind w:left="0" w:firstLine="0"/>
        <w:rPr>
          <w:rFonts w:cs="Arial"/>
          <w:b/>
          <w:lang w:val="en-US"/>
        </w:rPr>
      </w:pPr>
      <w:r>
        <w:rPr>
          <w:rFonts w:cs="Arial"/>
          <w:b/>
          <w:lang w:val="en-US"/>
        </w:rPr>
        <w:lastRenderedPageBreak/>
        <w:t xml:space="preserve">Harmonics </w:t>
      </w:r>
      <w:r w:rsidR="00B313AB">
        <w:rPr>
          <w:rFonts w:cs="Arial"/>
          <w:b/>
          <w:lang w:val="en-US"/>
        </w:rPr>
        <w:t xml:space="preserve">interference </w:t>
      </w:r>
      <w:r>
        <w:rPr>
          <w:rFonts w:cs="Arial"/>
          <w:b/>
          <w:lang w:val="en-US"/>
        </w:rPr>
        <w:t>in NR-LTE DC</w:t>
      </w:r>
    </w:p>
    <w:p w:rsidR="00FB1315" w:rsidRDefault="00FB1315" w:rsidP="00FB1315">
      <w:pPr>
        <w:spacing w:after="120" w:afterAutospacing="0"/>
        <w:rPr>
          <w:sz w:val="20"/>
          <w:lang w:val="en-US"/>
        </w:rPr>
      </w:pPr>
      <w:r w:rsidRPr="00FB1315">
        <w:rPr>
          <w:sz w:val="20"/>
          <w:lang w:val="en-US"/>
        </w:rPr>
        <w:t xml:space="preserve">There are </w:t>
      </w:r>
      <w:r>
        <w:rPr>
          <w:sz w:val="20"/>
          <w:lang w:val="en-US"/>
        </w:rPr>
        <w:t xml:space="preserve">mainly two </w:t>
      </w:r>
      <w:r w:rsidR="00CA03F1">
        <w:rPr>
          <w:sz w:val="20"/>
          <w:lang w:val="en-US"/>
        </w:rPr>
        <w:t>question</w:t>
      </w:r>
      <w:r>
        <w:rPr>
          <w:sz w:val="20"/>
          <w:lang w:val="en-US"/>
        </w:rPr>
        <w:t>s remaining after RAN1 NR AH3 meeting:</w:t>
      </w:r>
    </w:p>
    <w:p w:rsidR="00FB1315" w:rsidRDefault="00FB1315" w:rsidP="00FB1315">
      <w:pPr>
        <w:pStyle w:val="ListParagraph"/>
        <w:numPr>
          <w:ilvl w:val="0"/>
          <w:numId w:val="36"/>
        </w:numPr>
        <w:spacing w:after="120" w:afterAutospacing="0"/>
        <w:ind w:firstLineChars="0"/>
      </w:pPr>
      <w:r>
        <w:t xml:space="preserve">Given the TDM/FDM pattern coordinated over X2/Xn interface, is it necessary to </w:t>
      </w:r>
      <w:r w:rsidR="001C37C6">
        <w:t>indicate</w:t>
      </w:r>
      <w:r>
        <w:t xml:space="preserve"> the TDM/FDM pattern (possibly different from the patterns over X2/Xn interface) to UE? </w:t>
      </w:r>
    </w:p>
    <w:p w:rsidR="00FB1315" w:rsidRDefault="00FB1315" w:rsidP="00FB1315">
      <w:pPr>
        <w:pStyle w:val="ListParagraph"/>
        <w:numPr>
          <w:ilvl w:val="0"/>
          <w:numId w:val="36"/>
        </w:numPr>
        <w:spacing w:after="120" w:afterAutospacing="0"/>
        <w:ind w:firstLineChars="0"/>
      </w:pPr>
      <w:r>
        <w:t xml:space="preserve">What is the UE behavior </w:t>
      </w:r>
      <w:r w:rsidR="001C37C6">
        <w:t>if UE is directed by eN</w:t>
      </w:r>
      <w:r w:rsidR="000A267F">
        <w:t>B and gNB for UL transmission and</w:t>
      </w:r>
      <w:r w:rsidR="001C37C6">
        <w:t xml:space="preserve"> DL reception that are vulnerable to harmonics? </w:t>
      </w:r>
    </w:p>
    <w:p w:rsidR="004E2D3C" w:rsidRDefault="00CA03F1" w:rsidP="001C37C6">
      <w:pPr>
        <w:pStyle w:val="ListParagraph"/>
        <w:spacing w:after="120" w:afterAutospacing="0"/>
        <w:ind w:firstLineChars="0" w:firstLine="0"/>
      </w:pPr>
      <w:r>
        <w:t xml:space="preserve">For the first question, </w:t>
      </w:r>
      <w:r w:rsidR="008E5B0D">
        <w:t>even though the transferring of TDM/FDM patt</w:t>
      </w:r>
      <w:r w:rsidR="006941D1">
        <w:t xml:space="preserve">ern to UE is not required </w:t>
      </w:r>
      <w:r w:rsidR="008E5B0D">
        <w:t>for harmonics avoidance, the TDM pattern is claimed to be beneficial to save UE’s power consumption. Meanwhile, the TDM pattern to support single UL Tx is already agreed to be indicated to UE, likely in the implicit form derived from a TDD DL reference configuration</w:t>
      </w:r>
      <w:r w:rsidR="004E2D3C">
        <w:t xml:space="preserve"> applicable to LTE connection leg</w:t>
      </w:r>
      <w:r w:rsidR="008E5B0D">
        <w:t xml:space="preserve">. That TDM pattern mechanism designed for single UL Tx can be used to </w:t>
      </w:r>
      <w:r w:rsidR="004E2D3C">
        <w:t>support</w:t>
      </w:r>
      <w:r w:rsidR="008E5B0D">
        <w:t xml:space="preserve"> TDM-based</w:t>
      </w:r>
      <w:r w:rsidR="004E2D3C">
        <w:t xml:space="preserve"> harmonics avoidance as well by restricting the </w:t>
      </w:r>
      <w:r w:rsidR="00957E61">
        <w:t xml:space="preserve">LTE </w:t>
      </w:r>
      <w:r w:rsidR="004E2D3C">
        <w:t xml:space="preserve">UL transmission </w:t>
      </w:r>
      <w:r w:rsidR="00957E61">
        <w:t>to a subset of UL subframes</w:t>
      </w:r>
      <w:r w:rsidR="004E2D3C">
        <w:t xml:space="preserve">. Once that TDM pattern on LTE side is known or derivable by gNB, gNB knows what NR DL subframe could be </w:t>
      </w:r>
      <w:r w:rsidR="00014A05">
        <w:t xml:space="preserve">potentially </w:t>
      </w:r>
      <w:r w:rsidR="004E2D3C">
        <w:t xml:space="preserve">vulnerable to harmonics, so there seems no need to further notify a DL TDM pattern to UE. </w:t>
      </w:r>
    </w:p>
    <w:p w:rsidR="005876FE" w:rsidRPr="005876FE" w:rsidRDefault="004E2D3C" w:rsidP="001C37C6">
      <w:pPr>
        <w:pStyle w:val="ListParagraph"/>
        <w:spacing w:after="120" w:afterAutospacing="0"/>
        <w:ind w:firstLineChars="0" w:firstLine="0"/>
        <w:rPr>
          <w:b/>
          <w:i/>
        </w:rPr>
      </w:pPr>
      <w:r w:rsidRPr="005876FE">
        <w:rPr>
          <w:b/>
          <w:i/>
        </w:rPr>
        <w:t>Observation</w:t>
      </w:r>
      <w:r w:rsidR="00E06EBD">
        <w:rPr>
          <w:b/>
          <w:i/>
        </w:rPr>
        <w:t>-2</w:t>
      </w:r>
      <w:r w:rsidRPr="005876FE">
        <w:rPr>
          <w:b/>
          <w:i/>
        </w:rPr>
        <w:t xml:space="preserve">: The TDM based harmonics avoidance </w:t>
      </w:r>
      <w:r w:rsidR="005876FE" w:rsidRPr="005876FE">
        <w:rPr>
          <w:b/>
          <w:i/>
        </w:rPr>
        <w:t xml:space="preserve">can work based on the TDM mechanism designed for single UL Tx. There is no need to define additional UE notification of TDM pattern specifically for harmonics avoidance. </w:t>
      </w:r>
    </w:p>
    <w:p w:rsidR="00014A05" w:rsidRDefault="005876FE" w:rsidP="001C37C6">
      <w:pPr>
        <w:pStyle w:val="ListParagraph"/>
        <w:spacing w:after="120" w:afterAutospacing="0"/>
        <w:ind w:firstLineChars="0" w:firstLine="0"/>
      </w:pPr>
      <w:r>
        <w:t xml:space="preserve">For the second question, </w:t>
      </w:r>
      <w:r w:rsidR="00014A05">
        <w:t xml:space="preserve">because the X2/Xn interface is never mandatory, it is possible for gNB and eNB to direct the UE to perform UL transmission and DL reception at the same time and in the frequency domain resources that create UE self harmonics interference. Once UE falls into that situation, there are several options for UE behavior: </w:t>
      </w:r>
    </w:p>
    <w:p w:rsidR="00A902F9" w:rsidRPr="00A902F9" w:rsidRDefault="00A902F9" w:rsidP="00A902F9">
      <w:pPr>
        <w:numPr>
          <w:ilvl w:val="1"/>
          <w:numId w:val="37"/>
        </w:numPr>
        <w:tabs>
          <w:tab w:val="clear" w:pos="1440"/>
        </w:tabs>
        <w:spacing w:after="0" w:afterAutospacing="0"/>
        <w:rPr>
          <w:sz w:val="20"/>
        </w:rPr>
      </w:pPr>
      <w:r w:rsidRPr="00A902F9">
        <w:rPr>
          <w:sz w:val="20"/>
        </w:rPr>
        <w:t>Option 1: UE behaviour is not specified, i.e. up to UE implementation</w:t>
      </w:r>
    </w:p>
    <w:p w:rsidR="00A902F9" w:rsidRPr="00A902F9" w:rsidRDefault="00A902F9" w:rsidP="00A902F9">
      <w:pPr>
        <w:numPr>
          <w:ilvl w:val="1"/>
          <w:numId w:val="37"/>
        </w:numPr>
        <w:tabs>
          <w:tab w:val="clear" w:pos="1440"/>
        </w:tabs>
        <w:spacing w:after="0" w:afterAutospacing="0"/>
        <w:rPr>
          <w:sz w:val="20"/>
        </w:rPr>
      </w:pPr>
      <w:r w:rsidRPr="00A902F9">
        <w:rPr>
          <w:sz w:val="20"/>
        </w:rPr>
        <w:t>Option 2: Specify that UE consider the above scheduling to be error case</w:t>
      </w:r>
    </w:p>
    <w:p w:rsidR="00A902F9" w:rsidRDefault="00A902F9" w:rsidP="00A902F9">
      <w:pPr>
        <w:numPr>
          <w:ilvl w:val="1"/>
          <w:numId w:val="37"/>
        </w:numPr>
        <w:tabs>
          <w:tab w:val="clear" w:pos="1440"/>
        </w:tabs>
        <w:spacing w:after="0" w:afterAutospacing="0"/>
        <w:rPr>
          <w:sz w:val="20"/>
        </w:rPr>
      </w:pPr>
      <w:r w:rsidRPr="00A902F9">
        <w:rPr>
          <w:sz w:val="20"/>
        </w:rPr>
        <w:t xml:space="preserve">Option 3: Specify the UE behaviour, e.g. channel dropping rule between the Tx and Rx. </w:t>
      </w:r>
    </w:p>
    <w:p w:rsidR="00F92AF6" w:rsidRDefault="00A902F9" w:rsidP="00A902F9">
      <w:pPr>
        <w:numPr>
          <w:ilvl w:val="1"/>
          <w:numId w:val="37"/>
        </w:numPr>
        <w:tabs>
          <w:tab w:val="clear" w:pos="1440"/>
        </w:tabs>
        <w:spacing w:after="0" w:afterAutospacing="0"/>
        <w:rPr>
          <w:sz w:val="20"/>
        </w:rPr>
      </w:pPr>
      <w:r>
        <w:rPr>
          <w:sz w:val="20"/>
        </w:rPr>
        <w:t>Option 4: UE behaviour in existence of harmonics remains the same as without harmonics.</w:t>
      </w:r>
    </w:p>
    <w:p w:rsidR="00F92AF6" w:rsidRDefault="00F92AF6" w:rsidP="00F92AF6">
      <w:pPr>
        <w:spacing w:before="120" w:after="120" w:afterAutospacing="0"/>
        <w:rPr>
          <w:sz w:val="20"/>
        </w:rPr>
      </w:pPr>
      <w:r>
        <w:rPr>
          <w:sz w:val="20"/>
        </w:rPr>
        <w:t>Option-1 is adopted for UE behaviour to handle the single UL Tx and/or inter-modulation interference in case the network directs the UE in a way not compatible to UE capability</w:t>
      </w:r>
      <w:r w:rsidR="00957E61">
        <w:rPr>
          <w:sz w:val="20"/>
        </w:rPr>
        <w:t xml:space="preserve"> </w:t>
      </w:r>
      <w:r w:rsidR="00957E61">
        <w:rPr>
          <w:sz w:val="20"/>
        </w:rPr>
        <w:fldChar w:fldCharType="begin"/>
      </w:r>
      <w:r w:rsidR="00957E61">
        <w:rPr>
          <w:sz w:val="20"/>
        </w:rPr>
        <w:instrText xml:space="preserve"> REF _Ref494735631 \r \h </w:instrText>
      </w:r>
      <w:r w:rsidR="00957E61">
        <w:rPr>
          <w:sz w:val="20"/>
        </w:rPr>
      </w:r>
      <w:r w:rsidR="00957E61">
        <w:rPr>
          <w:sz w:val="20"/>
        </w:rPr>
        <w:fldChar w:fldCharType="separate"/>
      </w:r>
      <w:r w:rsidR="00957E61">
        <w:rPr>
          <w:sz w:val="20"/>
        </w:rPr>
        <w:t>[3]</w:t>
      </w:r>
      <w:r w:rsidR="00957E61">
        <w:rPr>
          <w:sz w:val="20"/>
        </w:rPr>
        <w:fldChar w:fldCharType="end"/>
      </w:r>
      <w:r>
        <w:rPr>
          <w:sz w:val="20"/>
        </w:rPr>
        <w:t>. The harmonics interference is agreed to be partially considered when RAN4 defines the UE capability to handle inter-modulation interference</w:t>
      </w:r>
      <w:r w:rsidR="00FE1234">
        <w:rPr>
          <w:sz w:val="20"/>
        </w:rPr>
        <w:t xml:space="preserve"> </w:t>
      </w:r>
      <w:r w:rsidR="00FE1234">
        <w:rPr>
          <w:sz w:val="20"/>
        </w:rPr>
        <w:fldChar w:fldCharType="begin"/>
      </w:r>
      <w:r w:rsidR="00FE1234">
        <w:rPr>
          <w:sz w:val="20"/>
        </w:rPr>
        <w:instrText xml:space="preserve"> REF _Ref494735730 \r \h </w:instrText>
      </w:r>
      <w:r w:rsidR="00FE1234">
        <w:rPr>
          <w:sz w:val="20"/>
        </w:rPr>
      </w:r>
      <w:r w:rsidR="00FE1234">
        <w:rPr>
          <w:sz w:val="20"/>
        </w:rPr>
        <w:fldChar w:fldCharType="separate"/>
      </w:r>
      <w:r w:rsidR="00FE1234">
        <w:rPr>
          <w:sz w:val="20"/>
        </w:rPr>
        <w:t>[4]</w:t>
      </w:r>
      <w:r w:rsidR="00FE1234">
        <w:rPr>
          <w:sz w:val="20"/>
        </w:rPr>
        <w:fldChar w:fldCharType="end"/>
      </w:r>
      <w:r>
        <w:rPr>
          <w:sz w:val="20"/>
        </w:rPr>
        <w:t xml:space="preserve">. Given harmonics and intern-modulation interference are both UE self interference, it </w:t>
      </w:r>
      <w:r w:rsidR="00FE1234">
        <w:rPr>
          <w:sz w:val="20"/>
        </w:rPr>
        <w:t>is</w:t>
      </w:r>
      <w:r>
        <w:rPr>
          <w:sz w:val="20"/>
        </w:rPr>
        <w:t xml:space="preserve"> feasible to follow the same principle for UE behaviour in cas</w:t>
      </w:r>
      <w:r w:rsidR="00FE1234">
        <w:rPr>
          <w:sz w:val="20"/>
        </w:rPr>
        <w:t>e the network commands cause any type of</w:t>
      </w:r>
      <w:r>
        <w:rPr>
          <w:sz w:val="20"/>
        </w:rPr>
        <w:t xml:space="preserve"> self interference. </w:t>
      </w:r>
    </w:p>
    <w:p w:rsidR="00A021B4" w:rsidRDefault="00F92AF6" w:rsidP="00F92AF6">
      <w:pPr>
        <w:spacing w:after="0" w:afterAutospacing="0"/>
        <w:rPr>
          <w:sz w:val="20"/>
        </w:rPr>
      </w:pPr>
      <w:r>
        <w:rPr>
          <w:sz w:val="20"/>
        </w:rPr>
        <w:t>Option-2 could be an over-</w:t>
      </w:r>
      <w:r w:rsidR="00167A0B">
        <w:rPr>
          <w:sz w:val="20"/>
        </w:rPr>
        <w:t>kill</w:t>
      </w:r>
      <w:r>
        <w:rPr>
          <w:sz w:val="20"/>
        </w:rPr>
        <w:t xml:space="preserve">, because both eNB scheduler and gNB scheduler </w:t>
      </w:r>
      <w:r w:rsidR="00A021B4">
        <w:rPr>
          <w:sz w:val="20"/>
        </w:rPr>
        <w:t xml:space="preserve">are supposed to work without tight coordination in between and in such a circumstance the commands from gNB and eNB to UE are </w:t>
      </w:r>
      <w:r w:rsidR="00B02F89">
        <w:rPr>
          <w:sz w:val="20"/>
        </w:rPr>
        <w:t>standard</w:t>
      </w:r>
      <w:r w:rsidR="00A021B4">
        <w:rPr>
          <w:sz w:val="20"/>
        </w:rPr>
        <w:t xml:space="preserve"> network behaviour and should not be considered as scheduler errors.</w:t>
      </w:r>
    </w:p>
    <w:p w:rsidR="003C3271" w:rsidRDefault="00A021B4" w:rsidP="00A021B4">
      <w:pPr>
        <w:spacing w:before="120" w:after="120" w:afterAutospacing="0"/>
        <w:rPr>
          <w:sz w:val="20"/>
        </w:rPr>
      </w:pPr>
      <w:r>
        <w:rPr>
          <w:sz w:val="20"/>
        </w:rPr>
        <w:t>Option-3 needs to assign in specification the priority to one communication link direction over another. Traditionally, the priority is given to the transmission on PCell, which is LTE UL in the architecture Option 3/3a. However, generally speaking it is more preferable to assign the priority based on traff</w:t>
      </w:r>
      <w:r w:rsidR="003C3271">
        <w:rPr>
          <w:sz w:val="20"/>
        </w:rPr>
        <w:t xml:space="preserve">ic types, data volumes and etc, in order to minimize the performance loss due to channel dropping. Therefore it is not preferred to fix the UE behaviour of channel dropping in the specification. </w:t>
      </w:r>
    </w:p>
    <w:p w:rsidR="00A902F9" w:rsidRPr="00A902F9" w:rsidRDefault="003C3271" w:rsidP="00A021B4">
      <w:pPr>
        <w:spacing w:before="120" w:after="120" w:afterAutospacing="0"/>
        <w:rPr>
          <w:sz w:val="20"/>
        </w:rPr>
      </w:pPr>
      <w:r>
        <w:rPr>
          <w:sz w:val="20"/>
        </w:rPr>
        <w:lastRenderedPageBreak/>
        <w:t xml:space="preserve">Option-4 equivalently assumes there were no harmonics interference even if the harmonics interference would be generated for sure. UE tries to decode the NR DL channels anyway, and if failing due to strong harmonics interference, UE treats the DL reception in the same way as the case that the received channel is interfered by interference other than harmonics. The performance in Option-4 could heavily depend on the UE hardware implementation. If UE hardware is not specifically tuned </w:t>
      </w:r>
      <w:r w:rsidR="000A267F">
        <w:rPr>
          <w:sz w:val="20"/>
        </w:rPr>
        <w:t>to reduce harmonics interference, Option-4 would give worse performance than not putting received NR-PDSCH into HARQ buffer</w:t>
      </w:r>
      <w:r w:rsidR="00167A0B">
        <w:rPr>
          <w:sz w:val="20"/>
        </w:rPr>
        <w:t xml:space="preserve"> for future soft combining</w:t>
      </w:r>
      <w:r w:rsidR="000A267F">
        <w:rPr>
          <w:sz w:val="20"/>
        </w:rPr>
        <w:t xml:space="preserve">. </w:t>
      </w:r>
      <w:r w:rsidR="00A021B4">
        <w:rPr>
          <w:sz w:val="20"/>
        </w:rPr>
        <w:t xml:space="preserve">   </w:t>
      </w:r>
      <w:r w:rsidR="00A902F9">
        <w:rPr>
          <w:sz w:val="20"/>
        </w:rPr>
        <w:t xml:space="preserve"> </w:t>
      </w:r>
    </w:p>
    <w:p w:rsidR="001C37C6" w:rsidRDefault="00167A0B" w:rsidP="001C37C6">
      <w:pPr>
        <w:pStyle w:val="ListParagraph"/>
        <w:spacing w:after="120" w:afterAutospacing="0"/>
        <w:ind w:firstLineChars="0" w:firstLine="0"/>
      </w:pPr>
      <w:r>
        <w:rPr>
          <w:szCs w:val="20"/>
        </w:rPr>
        <w:t>Apparently</w:t>
      </w:r>
      <w:r w:rsidR="000A267F">
        <w:rPr>
          <w:szCs w:val="20"/>
        </w:rPr>
        <w:t xml:space="preserve">, Option-1 could be a flexible choice </w:t>
      </w:r>
      <w:r w:rsidR="006F57CC">
        <w:rPr>
          <w:szCs w:val="20"/>
        </w:rPr>
        <w:t>lying</w:t>
      </w:r>
      <w:r w:rsidR="000A267F">
        <w:rPr>
          <w:szCs w:val="20"/>
        </w:rPr>
        <w:t xml:space="preserve"> inside Option-3 (UE behavior varies depending on traffic types and volumes)</w:t>
      </w:r>
      <w:r w:rsidR="005876FE" w:rsidRPr="00A902F9">
        <w:rPr>
          <w:szCs w:val="20"/>
        </w:rPr>
        <w:t xml:space="preserve"> </w:t>
      </w:r>
      <w:r w:rsidR="000A267F">
        <w:rPr>
          <w:szCs w:val="20"/>
        </w:rPr>
        <w:t xml:space="preserve">and Option-4 (UE behavior varies depending on UE hardware capability to handle harmonics interference). Therefore, Option-1 is a preferred UE behavior </w:t>
      </w:r>
      <w:r w:rsidR="000A267F">
        <w:t xml:space="preserve">if UE is directed by eNB and gNB for UL transmission and DL reception that are vulnerable to harmonics. </w:t>
      </w:r>
    </w:p>
    <w:p w:rsidR="000A267F" w:rsidRPr="000A267F" w:rsidRDefault="000A267F" w:rsidP="001C37C6">
      <w:pPr>
        <w:pStyle w:val="ListParagraph"/>
        <w:spacing w:after="120" w:afterAutospacing="0"/>
        <w:ind w:firstLineChars="0" w:firstLine="0"/>
        <w:rPr>
          <w:b/>
          <w:i/>
          <w:szCs w:val="20"/>
        </w:rPr>
      </w:pPr>
      <w:r w:rsidRPr="000A267F">
        <w:rPr>
          <w:b/>
          <w:i/>
        </w:rPr>
        <w:t>Proposal-3: If UE is directed by network to perform UL transmission and DL reception that are vulnerable to har</w:t>
      </w:r>
      <w:r w:rsidR="003E090A">
        <w:rPr>
          <w:b/>
          <w:i/>
        </w:rPr>
        <w:t>monics interference, UE behavio</w:t>
      </w:r>
      <w:r w:rsidRPr="000A267F">
        <w:rPr>
          <w:b/>
          <w:i/>
        </w:rPr>
        <w:t xml:space="preserve">r is not specified, i.e. up to UE implementation. </w:t>
      </w:r>
    </w:p>
    <w:p w:rsidR="00877387" w:rsidRDefault="00877387" w:rsidP="00877387">
      <w:pPr>
        <w:pStyle w:val="Heading1"/>
        <w:tabs>
          <w:tab w:val="clear" w:pos="450"/>
          <w:tab w:val="num" w:pos="0"/>
        </w:tabs>
        <w:snapToGrid w:val="0"/>
        <w:spacing w:after="120" w:afterAutospacing="0"/>
        <w:ind w:left="0" w:firstLine="0"/>
        <w:rPr>
          <w:rFonts w:cs="Arial"/>
          <w:b/>
          <w:lang w:val="en-US"/>
        </w:rPr>
      </w:pPr>
      <w:r>
        <w:rPr>
          <w:rFonts w:cs="Arial"/>
          <w:b/>
          <w:lang w:val="en-US"/>
        </w:rPr>
        <w:t>Conclusion</w:t>
      </w:r>
    </w:p>
    <w:p w:rsidR="00877387" w:rsidRPr="00EE644F" w:rsidRDefault="00BC21D6" w:rsidP="006130EC">
      <w:pPr>
        <w:spacing w:after="120" w:afterAutospacing="0"/>
        <w:rPr>
          <w:bCs/>
          <w:sz w:val="20"/>
        </w:rPr>
      </w:pPr>
      <w:r w:rsidRPr="00EE644F">
        <w:rPr>
          <w:bCs/>
          <w:sz w:val="20"/>
        </w:rPr>
        <w:t xml:space="preserve">This contribution concludes with following </w:t>
      </w:r>
      <w:r w:rsidR="00952257">
        <w:rPr>
          <w:bCs/>
          <w:sz w:val="20"/>
        </w:rPr>
        <w:t>observation and proposal</w:t>
      </w:r>
      <w:r w:rsidRPr="00EE644F">
        <w:rPr>
          <w:bCs/>
          <w:sz w:val="20"/>
        </w:rPr>
        <w:t xml:space="preserve">: </w:t>
      </w:r>
    </w:p>
    <w:p w:rsidR="000A267F" w:rsidRDefault="000A267F" w:rsidP="000A267F">
      <w:pPr>
        <w:pStyle w:val="ListParagraph"/>
        <w:spacing w:after="120" w:afterAutospacing="0"/>
        <w:ind w:firstLineChars="0" w:firstLine="0"/>
        <w:jc w:val="both"/>
        <w:rPr>
          <w:rFonts w:eastAsia="MS Mincho"/>
          <w:b/>
          <w:i/>
          <w:iCs/>
        </w:rPr>
      </w:pPr>
      <w:r w:rsidRPr="00011961">
        <w:rPr>
          <w:b/>
          <w:bCs/>
          <w:i/>
          <w:lang w:val="en-GB"/>
        </w:rPr>
        <w:t xml:space="preserve">Proposal 1: To extend the agreement in RAN1 #90 such that, </w:t>
      </w:r>
      <w:r w:rsidRPr="00011961">
        <w:rPr>
          <w:rFonts w:eastAsia="MS Mincho"/>
          <w:b/>
          <w:i/>
          <w:iCs/>
        </w:rPr>
        <w:t xml:space="preserve">if the UE starts its initial RACH procedure on a UL carrier (regardless of SUL or NR normal UL), the initial RACH procedure is completed with all uplink transmission taking place on that carrier, where the “completion” means the initial RACH procedure either succeeds or fails.  </w:t>
      </w:r>
    </w:p>
    <w:p w:rsidR="005C3AC0" w:rsidRPr="00A97C57" w:rsidRDefault="00EB1037" w:rsidP="00EB1037">
      <w:pPr>
        <w:spacing w:before="120" w:after="120" w:afterAutospacing="0"/>
        <w:rPr>
          <w:b/>
          <w:i/>
          <w:sz w:val="20"/>
          <w:lang w:val="en-US"/>
        </w:rPr>
      </w:pPr>
      <w:r w:rsidRPr="00A97C57">
        <w:rPr>
          <w:b/>
          <w:i/>
          <w:sz w:val="20"/>
          <w:lang w:val="en-US"/>
        </w:rPr>
        <w:t xml:space="preserve">Proposal 2: </w:t>
      </w:r>
      <w:r>
        <w:rPr>
          <w:b/>
          <w:i/>
          <w:sz w:val="20"/>
          <w:lang w:val="en-US"/>
        </w:rPr>
        <w:t xml:space="preserve">For the combination </w:t>
      </w:r>
      <w:r w:rsidRPr="00A97C57">
        <w:rPr>
          <w:b/>
          <w:i/>
          <w:sz w:val="20"/>
          <w:lang w:val="en-US"/>
        </w:rPr>
        <w:t>of different SCS between DL and UL</w:t>
      </w:r>
      <w:r>
        <w:rPr>
          <w:b/>
          <w:i/>
          <w:sz w:val="20"/>
          <w:lang w:val="en-US"/>
        </w:rPr>
        <w:t xml:space="preserve">, NR Rel-15 only supports </w:t>
      </w:r>
      <w:r w:rsidRPr="00A97C57">
        <w:rPr>
          <w:b/>
          <w:i/>
          <w:sz w:val="20"/>
          <w:lang w:val="en-US"/>
        </w:rPr>
        <w:t>15kHz SCS on UL and 30kHz SCS on DL</w:t>
      </w:r>
      <w:r w:rsidR="005C3AC0" w:rsidRPr="00A97C57">
        <w:rPr>
          <w:b/>
          <w:i/>
          <w:sz w:val="20"/>
          <w:lang w:val="en-US"/>
        </w:rPr>
        <w:t xml:space="preserve">.   </w:t>
      </w:r>
    </w:p>
    <w:p w:rsidR="005C3AC0" w:rsidRPr="005876FE" w:rsidRDefault="005C3AC0" w:rsidP="005C3AC0">
      <w:pPr>
        <w:pStyle w:val="ListParagraph"/>
        <w:spacing w:after="120" w:afterAutospacing="0"/>
        <w:ind w:firstLineChars="0" w:firstLine="0"/>
        <w:rPr>
          <w:b/>
          <w:i/>
        </w:rPr>
      </w:pPr>
      <w:r w:rsidRPr="005876FE">
        <w:rPr>
          <w:b/>
          <w:i/>
        </w:rPr>
        <w:t xml:space="preserve">Observation: The TDM based harmonics avoidance can work based on the TDM mechanism designed for single UL Tx. There is no need to define additional UE notification of TDM pattern specifically for harmonics avoidance. </w:t>
      </w:r>
    </w:p>
    <w:p w:rsidR="00952257" w:rsidRPr="005C3AC0" w:rsidRDefault="005C3AC0" w:rsidP="005C3AC0">
      <w:pPr>
        <w:pStyle w:val="ListParagraph"/>
        <w:spacing w:after="120" w:afterAutospacing="0"/>
        <w:ind w:firstLineChars="0" w:firstLine="0"/>
        <w:rPr>
          <w:b/>
          <w:i/>
          <w:szCs w:val="20"/>
        </w:rPr>
      </w:pPr>
      <w:r w:rsidRPr="000A267F">
        <w:rPr>
          <w:b/>
          <w:i/>
        </w:rPr>
        <w:t>Proposal-3: If UE is directed by network to perform UL transmission and DL reception that are vulnerable to har</w:t>
      </w:r>
      <w:r w:rsidR="00F31FDF">
        <w:rPr>
          <w:b/>
          <w:i/>
        </w:rPr>
        <w:t>monics interference, UE behavio</w:t>
      </w:r>
      <w:r w:rsidRPr="000A267F">
        <w:rPr>
          <w:b/>
          <w:i/>
        </w:rPr>
        <w:t xml:space="preserve">r is not specified, i.e. up to UE implementation. </w:t>
      </w:r>
      <w:r w:rsidR="0004545B" w:rsidRPr="0004545B">
        <w:rPr>
          <w:b/>
          <w:bCs/>
          <w:i/>
          <w:szCs w:val="21"/>
        </w:rPr>
        <w:t xml:space="preserve"> </w:t>
      </w:r>
    </w:p>
    <w:p w:rsidR="00791D6C" w:rsidRDefault="00BA729D" w:rsidP="00E06EBD">
      <w:pPr>
        <w:pStyle w:val="Heading1"/>
        <w:numPr>
          <w:ilvl w:val="0"/>
          <w:numId w:val="0"/>
        </w:numPr>
        <w:tabs>
          <w:tab w:val="clear" w:pos="0"/>
        </w:tabs>
        <w:spacing w:before="0" w:afterLines="50" w:afterAutospacing="0" w:line="360" w:lineRule="auto"/>
        <w:rPr>
          <w:rFonts w:cs="Arial"/>
          <w:b/>
          <w:lang w:val="en-US"/>
        </w:rPr>
      </w:pPr>
      <w:r w:rsidRPr="00F866A3">
        <w:rPr>
          <w:rFonts w:cs="Arial"/>
          <w:b/>
          <w:lang w:val="en-US"/>
        </w:rPr>
        <w:t>References</w:t>
      </w:r>
    </w:p>
    <w:p w:rsidR="003752B3" w:rsidRDefault="003752B3" w:rsidP="00BA729D">
      <w:pPr>
        <w:pStyle w:val="ListParagraph"/>
        <w:numPr>
          <w:ilvl w:val="0"/>
          <w:numId w:val="9"/>
        </w:numPr>
        <w:ind w:leftChars="2" w:left="448" w:hangingChars="222" w:hanging="444"/>
        <w:rPr>
          <w:rFonts w:eastAsiaTheme="minorEastAsia"/>
          <w:szCs w:val="20"/>
          <w:lang w:val="en-GB" w:eastAsia="zh-CN"/>
        </w:rPr>
      </w:pPr>
      <w:bookmarkStart w:id="0" w:name="_Ref494661144"/>
      <w:bookmarkStart w:id="1" w:name="_Ref492471182"/>
      <w:bookmarkStart w:id="2" w:name="_Ref446076644"/>
      <w:bookmarkStart w:id="3" w:name="_Ref426471819"/>
      <w:bookmarkStart w:id="4" w:name="_Ref410219761"/>
      <w:bookmarkStart w:id="5" w:name="_Ref446960391"/>
      <w:r>
        <w:rPr>
          <w:rFonts w:eastAsiaTheme="minorEastAsia"/>
          <w:szCs w:val="20"/>
          <w:lang w:val="en-GB" w:eastAsia="zh-CN"/>
        </w:rPr>
        <w:t>Draft Minutes Report for RAN1 #90</w:t>
      </w:r>
      <w:bookmarkEnd w:id="0"/>
    </w:p>
    <w:p w:rsidR="006A5D09" w:rsidRDefault="006A5D09" w:rsidP="00BA729D">
      <w:pPr>
        <w:pStyle w:val="ListParagraph"/>
        <w:numPr>
          <w:ilvl w:val="0"/>
          <w:numId w:val="9"/>
        </w:numPr>
        <w:ind w:leftChars="2" w:left="448" w:hangingChars="222" w:hanging="444"/>
        <w:rPr>
          <w:rFonts w:eastAsiaTheme="minorEastAsia"/>
          <w:szCs w:val="20"/>
          <w:lang w:val="en-GB" w:eastAsia="zh-CN"/>
        </w:rPr>
      </w:pPr>
      <w:bookmarkStart w:id="6" w:name="_Ref494661170"/>
      <w:r w:rsidRPr="006A5D09">
        <w:rPr>
          <w:rFonts w:eastAsiaTheme="minorEastAsia"/>
          <w:szCs w:val="20"/>
          <w:lang w:val="en-GB" w:eastAsia="zh-CN"/>
        </w:rPr>
        <w:t>R</w:t>
      </w:r>
      <w:r w:rsidR="005C3AC0">
        <w:rPr>
          <w:rFonts w:eastAsiaTheme="minorEastAsia"/>
          <w:szCs w:val="20"/>
          <w:lang w:val="en-GB" w:eastAsia="zh-CN"/>
        </w:rPr>
        <w:t>AN1 NR#3 Chairman notes</w:t>
      </w:r>
      <w:bookmarkEnd w:id="1"/>
      <w:bookmarkEnd w:id="6"/>
    </w:p>
    <w:p w:rsidR="00957E61" w:rsidRDefault="00957E61" w:rsidP="00BA729D">
      <w:pPr>
        <w:pStyle w:val="ListParagraph"/>
        <w:numPr>
          <w:ilvl w:val="0"/>
          <w:numId w:val="9"/>
        </w:numPr>
        <w:ind w:leftChars="2" w:left="448" w:hangingChars="222" w:hanging="444"/>
        <w:rPr>
          <w:rFonts w:eastAsiaTheme="minorEastAsia"/>
          <w:szCs w:val="20"/>
          <w:lang w:val="en-GB" w:eastAsia="zh-CN"/>
        </w:rPr>
      </w:pPr>
      <w:bookmarkStart w:id="7" w:name="_Ref494735631"/>
      <w:r>
        <w:rPr>
          <w:rFonts w:eastAsiaTheme="minorEastAsia"/>
          <w:szCs w:val="20"/>
          <w:lang w:val="en-GB" w:eastAsia="zh-CN"/>
        </w:rPr>
        <w:t xml:space="preserve">RP-172085, </w:t>
      </w:r>
      <w:r w:rsidRPr="00957E61">
        <w:rPr>
          <w:rFonts w:eastAsiaTheme="minorEastAsia"/>
          <w:szCs w:val="20"/>
          <w:lang w:val="en-GB" w:eastAsia="zh-CN"/>
        </w:rPr>
        <w:t>Signalling aspects for single vs. dual transmit</w:t>
      </w:r>
      <w:r>
        <w:rPr>
          <w:rFonts w:eastAsiaTheme="minorEastAsia"/>
          <w:szCs w:val="20"/>
          <w:lang w:val="en-GB" w:eastAsia="zh-CN"/>
        </w:rPr>
        <w:t>, RAN2 chair (Intel)</w:t>
      </w:r>
      <w:bookmarkEnd w:id="7"/>
    </w:p>
    <w:p w:rsidR="00FE1234" w:rsidRDefault="00FE1234" w:rsidP="00BA729D">
      <w:pPr>
        <w:pStyle w:val="ListParagraph"/>
        <w:numPr>
          <w:ilvl w:val="0"/>
          <w:numId w:val="9"/>
        </w:numPr>
        <w:ind w:leftChars="2" w:left="448" w:hangingChars="222" w:hanging="444"/>
        <w:rPr>
          <w:rFonts w:eastAsiaTheme="minorEastAsia"/>
          <w:szCs w:val="20"/>
          <w:lang w:val="en-GB" w:eastAsia="zh-CN"/>
        </w:rPr>
      </w:pPr>
      <w:bookmarkStart w:id="8" w:name="_Ref494735730"/>
      <w:r>
        <w:rPr>
          <w:rFonts w:eastAsiaTheme="minorEastAsia"/>
          <w:szCs w:val="20"/>
          <w:lang w:val="en-GB" w:eastAsia="zh-CN"/>
        </w:rPr>
        <w:t xml:space="preserve">RP-172064, </w:t>
      </w:r>
      <w:r w:rsidRPr="00FE1234">
        <w:rPr>
          <w:rFonts w:eastAsiaTheme="minorEastAsia"/>
          <w:szCs w:val="20"/>
          <w:lang w:val="en-GB" w:eastAsia="zh-CN"/>
        </w:rPr>
        <w:t>Way forward on Single UL transmission and 2Tx in NR</w:t>
      </w:r>
      <w:r>
        <w:rPr>
          <w:rFonts w:eastAsiaTheme="minorEastAsia"/>
          <w:szCs w:val="20"/>
          <w:lang w:val="en-GB" w:eastAsia="zh-CN"/>
        </w:rPr>
        <w:t>, Qualcomm</w:t>
      </w:r>
      <w:bookmarkEnd w:id="8"/>
    </w:p>
    <w:bookmarkEnd w:id="2"/>
    <w:bookmarkEnd w:id="3"/>
    <w:bookmarkEnd w:id="4"/>
    <w:bookmarkEnd w:id="5"/>
    <w:p w:rsidR="00EF03DF" w:rsidRPr="00C909E7" w:rsidRDefault="00EF03DF" w:rsidP="00EE644F">
      <w:pPr>
        <w:pStyle w:val="ListParagraph"/>
        <w:ind w:left="448" w:firstLineChars="0" w:firstLine="0"/>
        <w:rPr>
          <w:rFonts w:eastAsiaTheme="minorEastAsia"/>
          <w:szCs w:val="20"/>
          <w:lang w:val="en-GB" w:eastAsia="zh-CN"/>
        </w:rPr>
      </w:pPr>
    </w:p>
    <w:sectPr w:rsidR="00EF03DF" w:rsidRPr="00C909E7" w:rsidSect="001D2C7C">
      <w:footerReference w:type="default" r:id="rId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A0B" w:rsidRDefault="00167A0B">
      <w:r>
        <w:separator/>
      </w:r>
    </w:p>
  </w:endnote>
  <w:endnote w:type="continuationSeparator" w:id="1">
    <w:p w:rsidR="00167A0B" w:rsidRDefault="00167A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Malgun Gothic Semilight"/>
    <w:panose1 w:val="02010609060101010101"/>
    <w:charset w:val="00"/>
    <w:family w:val="roman"/>
    <w:notTrueType/>
    <w:pitch w:val="default"/>
    <w:sig w:usb0="00000000" w:usb1="00000000" w:usb2="00000000" w:usb3="00000000" w:csb0="00000000" w:csb1="00000000"/>
  </w:font>
  <w:font w:name="Liberation Serif">
    <w:altName w:val="Times New Roman"/>
    <w:charset w:val="00"/>
    <w:family w:val="roman"/>
    <w:pitch w:val="default"/>
    <w:sig w:usb0="00000000" w:usb1="00000000" w:usb2="00000000" w:usb3="00000000" w:csb0="00000001" w:csb1="00000000"/>
  </w:font>
  <w:font w:name="FreeSans">
    <w:altName w:val="Times New Roman"/>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A0B" w:rsidRPr="001A0415" w:rsidRDefault="00167A0B">
    <w:pPr>
      <w:pStyle w:val="Footer"/>
      <w:jc w:val="center"/>
      <w:rPr>
        <w:lang w:eastAsia="zh-CN"/>
      </w:rPr>
    </w:pPr>
    <w:fldSimple w:instr=" PAGE   \* MERGEFORMAT ">
      <w:r w:rsidR="004C625D">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A0B" w:rsidRDefault="00167A0B">
      <w:r>
        <w:separator/>
      </w:r>
    </w:p>
  </w:footnote>
  <w:footnote w:type="continuationSeparator" w:id="1">
    <w:p w:rsidR="00167A0B" w:rsidRDefault="00167A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9B7E44"/>
    <w:multiLevelType w:val="hybridMultilevel"/>
    <w:tmpl w:val="F682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B81847"/>
    <w:multiLevelType w:val="hybridMultilevel"/>
    <w:tmpl w:val="07942B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D367B45"/>
    <w:multiLevelType w:val="hybridMultilevel"/>
    <w:tmpl w:val="967C802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nsid w:val="0D9C4862"/>
    <w:multiLevelType w:val="multilevel"/>
    <w:tmpl w:val="F418DE5E"/>
    <w:lvl w:ilvl="0">
      <w:start w:val="1"/>
      <w:numFmt w:val="decimal"/>
      <w:pStyle w:val="Heading1"/>
      <w:lvlText w:val="%1"/>
      <w:lvlJc w:val="left"/>
      <w:pPr>
        <w:tabs>
          <w:tab w:val="num" w:pos="450"/>
        </w:tabs>
        <w:ind w:left="450" w:hanging="450"/>
      </w:pPr>
      <w:rPr>
        <w:rFonts w:eastAsia="MS Mincho" w:hint="default"/>
        <w:lang w:val="en-GB"/>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8">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ED165D7"/>
    <w:multiLevelType w:val="hybridMultilevel"/>
    <w:tmpl w:val="57A85DC2"/>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AB1EF3"/>
    <w:multiLevelType w:val="hybridMultilevel"/>
    <w:tmpl w:val="32E8648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13D6591"/>
    <w:multiLevelType w:val="hybridMultilevel"/>
    <w:tmpl w:val="6EC6F97C"/>
    <w:lvl w:ilvl="0" w:tplc="426A6F1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13">
    <w:nsid w:val="2F3E217A"/>
    <w:multiLevelType w:val="hybridMultilevel"/>
    <w:tmpl w:val="FF26F9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2481E96"/>
    <w:multiLevelType w:val="hybridMultilevel"/>
    <w:tmpl w:val="3C18C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680F18"/>
    <w:multiLevelType w:val="hybridMultilevel"/>
    <w:tmpl w:val="9B8E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8">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8D164E"/>
    <w:multiLevelType w:val="hybridMultilevel"/>
    <w:tmpl w:val="E4FC46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52844D8C"/>
    <w:multiLevelType w:val="hybridMultilevel"/>
    <w:tmpl w:val="583A2E56"/>
    <w:lvl w:ilvl="0" w:tplc="159E9952">
      <w:start w:val="1"/>
      <w:numFmt w:val="bullet"/>
      <w:lvlText w:val="•"/>
      <w:lvlJc w:val="left"/>
      <w:pPr>
        <w:tabs>
          <w:tab w:val="num" w:pos="360"/>
        </w:tabs>
        <w:ind w:left="360" w:hanging="360"/>
      </w:pPr>
      <w:rPr>
        <w:rFonts w:ascii="Arial" w:hAnsi="Arial" w:hint="default"/>
      </w:rPr>
    </w:lvl>
    <w:lvl w:ilvl="1" w:tplc="704CABD4">
      <w:numFmt w:val="bullet"/>
      <w:lvlText w:val="–"/>
      <w:lvlJc w:val="left"/>
      <w:pPr>
        <w:tabs>
          <w:tab w:val="num" w:pos="1080"/>
        </w:tabs>
        <w:ind w:left="1080" w:hanging="360"/>
      </w:pPr>
      <w:rPr>
        <w:rFonts w:ascii="Arial" w:hAnsi="Arial" w:hint="default"/>
      </w:rPr>
    </w:lvl>
    <w:lvl w:ilvl="2" w:tplc="8466A89C">
      <w:start w:val="1"/>
      <w:numFmt w:val="bullet"/>
      <w:lvlText w:val="•"/>
      <w:lvlJc w:val="left"/>
      <w:pPr>
        <w:tabs>
          <w:tab w:val="num" w:pos="1800"/>
        </w:tabs>
        <w:ind w:left="1800" w:hanging="360"/>
      </w:pPr>
      <w:rPr>
        <w:rFonts w:ascii="Arial" w:hAnsi="Arial" w:hint="default"/>
      </w:rPr>
    </w:lvl>
    <w:lvl w:ilvl="3" w:tplc="DF9A91AA" w:tentative="1">
      <w:start w:val="1"/>
      <w:numFmt w:val="bullet"/>
      <w:lvlText w:val="•"/>
      <w:lvlJc w:val="left"/>
      <w:pPr>
        <w:tabs>
          <w:tab w:val="num" w:pos="2520"/>
        </w:tabs>
        <w:ind w:left="2520" w:hanging="360"/>
      </w:pPr>
      <w:rPr>
        <w:rFonts w:ascii="Arial" w:hAnsi="Arial" w:hint="default"/>
      </w:rPr>
    </w:lvl>
    <w:lvl w:ilvl="4" w:tplc="C71C2AA6" w:tentative="1">
      <w:start w:val="1"/>
      <w:numFmt w:val="bullet"/>
      <w:lvlText w:val="•"/>
      <w:lvlJc w:val="left"/>
      <w:pPr>
        <w:tabs>
          <w:tab w:val="num" w:pos="3240"/>
        </w:tabs>
        <w:ind w:left="3240" w:hanging="360"/>
      </w:pPr>
      <w:rPr>
        <w:rFonts w:ascii="Arial" w:hAnsi="Arial" w:hint="default"/>
      </w:rPr>
    </w:lvl>
    <w:lvl w:ilvl="5" w:tplc="8996CF94" w:tentative="1">
      <w:start w:val="1"/>
      <w:numFmt w:val="bullet"/>
      <w:lvlText w:val="•"/>
      <w:lvlJc w:val="left"/>
      <w:pPr>
        <w:tabs>
          <w:tab w:val="num" w:pos="3960"/>
        </w:tabs>
        <w:ind w:left="3960" w:hanging="360"/>
      </w:pPr>
      <w:rPr>
        <w:rFonts w:ascii="Arial" w:hAnsi="Arial" w:hint="default"/>
      </w:rPr>
    </w:lvl>
    <w:lvl w:ilvl="6" w:tplc="05F4CF58" w:tentative="1">
      <w:start w:val="1"/>
      <w:numFmt w:val="bullet"/>
      <w:lvlText w:val="•"/>
      <w:lvlJc w:val="left"/>
      <w:pPr>
        <w:tabs>
          <w:tab w:val="num" w:pos="4680"/>
        </w:tabs>
        <w:ind w:left="4680" w:hanging="360"/>
      </w:pPr>
      <w:rPr>
        <w:rFonts w:ascii="Arial" w:hAnsi="Arial" w:hint="default"/>
      </w:rPr>
    </w:lvl>
    <w:lvl w:ilvl="7" w:tplc="F3F21068" w:tentative="1">
      <w:start w:val="1"/>
      <w:numFmt w:val="bullet"/>
      <w:lvlText w:val="•"/>
      <w:lvlJc w:val="left"/>
      <w:pPr>
        <w:tabs>
          <w:tab w:val="num" w:pos="5400"/>
        </w:tabs>
        <w:ind w:left="5400" w:hanging="360"/>
      </w:pPr>
      <w:rPr>
        <w:rFonts w:ascii="Arial" w:hAnsi="Arial" w:hint="default"/>
      </w:rPr>
    </w:lvl>
    <w:lvl w:ilvl="8" w:tplc="CCEAE530" w:tentative="1">
      <w:start w:val="1"/>
      <w:numFmt w:val="bullet"/>
      <w:lvlText w:val="•"/>
      <w:lvlJc w:val="left"/>
      <w:pPr>
        <w:tabs>
          <w:tab w:val="num" w:pos="6120"/>
        </w:tabs>
        <w:ind w:left="6120" w:hanging="360"/>
      </w:pPr>
      <w:rPr>
        <w:rFonts w:ascii="Arial" w:hAnsi="Arial" w:hint="default"/>
      </w:rPr>
    </w:lvl>
  </w:abstractNum>
  <w:abstractNum w:abstractNumId="22">
    <w:nsid w:val="5B052685"/>
    <w:multiLevelType w:val="hybridMultilevel"/>
    <w:tmpl w:val="07EE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03D33AC"/>
    <w:multiLevelType w:val="hybridMultilevel"/>
    <w:tmpl w:val="169EF8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30">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185208"/>
    <w:multiLevelType w:val="hybridMultilevel"/>
    <w:tmpl w:val="872C2FFA"/>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4D12D9"/>
    <w:multiLevelType w:val="hybridMultilevel"/>
    <w:tmpl w:val="C1823E36"/>
    <w:lvl w:ilvl="0" w:tplc="31362C5C">
      <w:start w:val="321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27"/>
  </w:num>
  <w:num w:numId="4">
    <w:abstractNumId w:val="15"/>
  </w:num>
  <w:num w:numId="5">
    <w:abstractNumId w:val="32"/>
  </w:num>
  <w:num w:numId="6">
    <w:abstractNumId w:val="30"/>
  </w:num>
  <w:num w:numId="7">
    <w:abstractNumId w:val="20"/>
  </w:num>
  <w:num w:numId="8">
    <w:abstractNumId w:val="6"/>
  </w:num>
  <w:num w:numId="9">
    <w:abstractNumId w:val="31"/>
  </w:num>
  <w:num w:numId="10">
    <w:abstractNumId w:val="26"/>
  </w:num>
  <w:num w:numId="11">
    <w:abstractNumId w:val="6"/>
  </w:num>
  <w:num w:numId="12">
    <w:abstractNumId w:val="24"/>
  </w:num>
  <w:num w:numId="13">
    <w:abstractNumId w:val="29"/>
  </w:num>
  <w:num w:numId="14">
    <w:abstractNumId w:val="7"/>
  </w:num>
  <w:num w:numId="15">
    <w:abstractNumId w:val="2"/>
  </w:num>
  <w:num w:numId="16">
    <w:abstractNumId w:val="33"/>
  </w:num>
  <w:num w:numId="17">
    <w:abstractNumId w:val="22"/>
  </w:num>
  <w:num w:numId="18">
    <w:abstractNumId w:val="17"/>
  </w:num>
  <w:num w:numId="19">
    <w:abstractNumId w:val="25"/>
  </w:num>
  <w:num w:numId="20">
    <w:abstractNumId w:val="5"/>
  </w:num>
  <w:num w:numId="21">
    <w:abstractNumId w:val="18"/>
  </w:num>
  <w:num w:numId="22">
    <w:abstractNumId w:val="14"/>
  </w:num>
  <w:num w:numId="23">
    <w:abstractNumId w:val="1"/>
  </w:num>
  <w:num w:numId="24">
    <w:abstractNumId w:val="28"/>
  </w:num>
  <w:num w:numId="25">
    <w:abstractNumId w:val="19"/>
  </w:num>
  <w:num w:numId="26">
    <w:abstractNumId w:val="35"/>
  </w:num>
  <w:num w:numId="27">
    <w:abstractNumId w:val="34"/>
  </w:num>
  <w:num w:numId="28">
    <w:abstractNumId w:val="4"/>
  </w:num>
  <w:num w:numId="29">
    <w:abstractNumId w:val="13"/>
  </w:num>
  <w:num w:numId="30">
    <w:abstractNumId w:val="8"/>
  </w:num>
  <w:num w:numId="31">
    <w:abstractNumId w:val="9"/>
  </w:num>
  <w:num w:numId="32">
    <w:abstractNumId w:val="10"/>
  </w:num>
  <w:num w:numId="33">
    <w:abstractNumId w:val="3"/>
  </w:num>
  <w:num w:numId="34">
    <w:abstractNumId w:val="11"/>
  </w:num>
  <w:num w:numId="35">
    <w:abstractNumId w:val="21"/>
  </w:num>
  <w:num w:numId="36">
    <w:abstractNumId w:val="16"/>
  </w:num>
  <w:num w:numId="3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336897">
      <v:textbox inset="5.85pt,.7pt,5.85pt,.7pt"/>
    </o:shapedefaults>
  </w:hdrShapeDefaults>
  <w:footnotePr>
    <w:footnote w:id="0"/>
    <w:footnote w:id="1"/>
  </w:footnotePr>
  <w:endnotePr>
    <w:endnote w:id="0"/>
    <w:endnote w:id="1"/>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50"/>
    <w:rsid w:val="000073CA"/>
    <w:rsid w:val="00007488"/>
    <w:rsid w:val="0000775C"/>
    <w:rsid w:val="00007B7A"/>
    <w:rsid w:val="0001173D"/>
    <w:rsid w:val="00011961"/>
    <w:rsid w:val="00012880"/>
    <w:rsid w:val="000129F3"/>
    <w:rsid w:val="00012F8F"/>
    <w:rsid w:val="00013570"/>
    <w:rsid w:val="00013FE7"/>
    <w:rsid w:val="0001430F"/>
    <w:rsid w:val="0001468E"/>
    <w:rsid w:val="00014A05"/>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6FF"/>
    <w:rsid w:val="0002674C"/>
    <w:rsid w:val="00027F49"/>
    <w:rsid w:val="000303AE"/>
    <w:rsid w:val="00030512"/>
    <w:rsid w:val="00030638"/>
    <w:rsid w:val="0003107E"/>
    <w:rsid w:val="0003161B"/>
    <w:rsid w:val="00031B51"/>
    <w:rsid w:val="00031F64"/>
    <w:rsid w:val="000327E7"/>
    <w:rsid w:val="00032A9E"/>
    <w:rsid w:val="00032C65"/>
    <w:rsid w:val="000331D7"/>
    <w:rsid w:val="00033BEF"/>
    <w:rsid w:val="00033C23"/>
    <w:rsid w:val="00033DE7"/>
    <w:rsid w:val="000346A3"/>
    <w:rsid w:val="000346C1"/>
    <w:rsid w:val="000349B0"/>
    <w:rsid w:val="000350C7"/>
    <w:rsid w:val="000355C6"/>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6D2"/>
    <w:rsid w:val="00044DEE"/>
    <w:rsid w:val="0004545B"/>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1A6"/>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5BC"/>
    <w:rsid w:val="0007180B"/>
    <w:rsid w:val="000721ED"/>
    <w:rsid w:val="00072378"/>
    <w:rsid w:val="000723C7"/>
    <w:rsid w:val="000724AD"/>
    <w:rsid w:val="0007261C"/>
    <w:rsid w:val="00072A5E"/>
    <w:rsid w:val="00072D21"/>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602"/>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5E6"/>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67F"/>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3AF1"/>
    <w:rsid w:val="000B442F"/>
    <w:rsid w:val="000B4805"/>
    <w:rsid w:val="000B4863"/>
    <w:rsid w:val="000B4E54"/>
    <w:rsid w:val="000B50F8"/>
    <w:rsid w:val="000B5402"/>
    <w:rsid w:val="000B5CA5"/>
    <w:rsid w:val="000B5DB1"/>
    <w:rsid w:val="000B5E7F"/>
    <w:rsid w:val="000B60E7"/>
    <w:rsid w:val="000B62BE"/>
    <w:rsid w:val="000B648F"/>
    <w:rsid w:val="000B74BC"/>
    <w:rsid w:val="000B75BD"/>
    <w:rsid w:val="000B7921"/>
    <w:rsid w:val="000C0073"/>
    <w:rsid w:val="000C0A3C"/>
    <w:rsid w:val="000C0A69"/>
    <w:rsid w:val="000C0C08"/>
    <w:rsid w:val="000C1526"/>
    <w:rsid w:val="000C16E0"/>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4F4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3F5"/>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535"/>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6EE"/>
    <w:rsid w:val="00130724"/>
    <w:rsid w:val="00130B99"/>
    <w:rsid w:val="0013126E"/>
    <w:rsid w:val="00131BB9"/>
    <w:rsid w:val="00131BC5"/>
    <w:rsid w:val="00131DFC"/>
    <w:rsid w:val="00131FE3"/>
    <w:rsid w:val="001328F1"/>
    <w:rsid w:val="00132CF0"/>
    <w:rsid w:val="00132D05"/>
    <w:rsid w:val="00132F33"/>
    <w:rsid w:val="00133140"/>
    <w:rsid w:val="001332C0"/>
    <w:rsid w:val="00133969"/>
    <w:rsid w:val="00133B39"/>
    <w:rsid w:val="00133BF3"/>
    <w:rsid w:val="001342F0"/>
    <w:rsid w:val="00134322"/>
    <w:rsid w:val="00134625"/>
    <w:rsid w:val="00134822"/>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2DC5"/>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380"/>
    <w:rsid w:val="001636A6"/>
    <w:rsid w:val="00163B61"/>
    <w:rsid w:val="001640CD"/>
    <w:rsid w:val="0016457D"/>
    <w:rsid w:val="001648D5"/>
    <w:rsid w:val="00164981"/>
    <w:rsid w:val="00164CA3"/>
    <w:rsid w:val="00166E68"/>
    <w:rsid w:val="00167A0B"/>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5C8E"/>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2E29"/>
    <w:rsid w:val="00183687"/>
    <w:rsid w:val="00183D6F"/>
    <w:rsid w:val="001841AF"/>
    <w:rsid w:val="00185267"/>
    <w:rsid w:val="00185299"/>
    <w:rsid w:val="00185749"/>
    <w:rsid w:val="00185A0C"/>
    <w:rsid w:val="0018612F"/>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B43"/>
    <w:rsid w:val="00194F0B"/>
    <w:rsid w:val="00195330"/>
    <w:rsid w:val="00196163"/>
    <w:rsid w:val="00196310"/>
    <w:rsid w:val="0019687F"/>
    <w:rsid w:val="00196A8A"/>
    <w:rsid w:val="00196DE7"/>
    <w:rsid w:val="001972FF"/>
    <w:rsid w:val="001A0415"/>
    <w:rsid w:val="001A0590"/>
    <w:rsid w:val="001A067B"/>
    <w:rsid w:val="001A18ED"/>
    <w:rsid w:val="001A1AF8"/>
    <w:rsid w:val="001A268B"/>
    <w:rsid w:val="001A346A"/>
    <w:rsid w:val="001A3A37"/>
    <w:rsid w:val="001A3AB3"/>
    <w:rsid w:val="001A3B25"/>
    <w:rsid w:val="001A4046"/>
    <w:rsid w:val="001A450C"/>
    <w:rsid w:val="001A4F9C"/>
    <w:rsid w:val="001A6065"/>
    <w:rsid w:val="001A63DC"/>
    <w:rsid w:val="001A712E"/>
    <w:rsid w:val="001A759E"/>
    <w:rsid w:val="001A793F"/>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31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7C6"/>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8ED"/>
    <w:rsid w:val="001E3FC0"/>
    <w:rsid w:val="001E4CB7"/>
    <w:rsid w:val="001E5F8C"/>
    <w:rsid w:val="001E61B2"/>
    <w:rsid w:val="001E6312"/>
    <w:rsid w:val="001E67F2"/>
    <w:rsid w:val="001E6BF5"/>
    <w:rsid w:val="001E6D1A"/>
    <w:rsid w:val="001E6FBC"/>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A4"/>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2D02"/>
    <w:rsid w:val="00243040"/>
    <w:rsid w:val="00243250"/>
    <w:rsid w:val="00243685"/>
    <w:rsid w:val="00243895"/>
    <w:rsid w:val="00243DA3"/>
    <w:rsid w:val="002442CF"/>
    <w:rsid w:val="0024468D"/>
    <w:rsid w:val="00244CD0"/>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598E"/>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0B44"/>
    <w:rsid w:val="002911B5"/>
    <w:rsid w:val="00291CCF"/>
    <w:rsid w:val="00292691"/>
    <w:rsid w:val="002926E4"/>
    <w:rsid w:val="00292C22"/>
    <w:rsid w:val="002932D4"/>
    <w:rsid w:val="002935AF"/>
    <w:rsid w:val="002941C9"/>
    <w:rsid w:val="0029481B"/>
    <w:rsid w:val="00294CCD"/>
    <w:rsid w:val="00294E40"/>
    <w:rsid w:val="00295386"/>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2D93"/>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257"/>
    <w:rsid w:val="002B3F19"/>
    <w:rsid w:val="002B430C"/>
    <w:rsid w:val="002B438C"/>
    <w:rsid w:val="002B4F3D"/>
    <w:rsid w:val="002B4FFC"/>
    <w:rsid w:val="002B5A86"/>
    <w:rsid w:val="002B6006"/>
    <w:rsid w:val="002B6053"/>
    <w:rsid w:val="002B625E"/>
    <w:rsid w:val="002B65A2"/>
    <w:rsid w:val="002B690B"/>
    <w:rsid w:val="002B6BAE"/>
    <w:rsid w:val="002B6F84"/>
    <w:rsid w:val="002B715E"/>
    <w:rsid w:val="002B7B25"/>
    <w:rsid w:val="002B7FFD"/>
    <w:rsid w:val="002C04E9"/>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A7E"/>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48"/>
    <w:rsid w:val="002E65F5"/>
    <w:rsid w:val="002E6975"/>
    <w:rsid w:val="002E69D4"/>
    <w:rsid w:val="002E6E87"/>
    <w:rsid w:val="002E7563"/>
    <w:rsid w:val="002E7A48"/>
    <w:rsid w:val="002E7AB4"/>
    <w:rsid w:val="002E7B20"/>
    <w:rsid w:val="002F02B2"/>
    <w:rsid w:val="002F0883"/>
    <w:rsid w:val="002F0A45"/>
    <w:rsid w:val="002F0D89"/>
    <w:rsid w:val="002F0F31"/>
    <w:rsid w:val="002F124F"/>
    <w:rsid w:val="002F1837"/>
    <w:rsid w:val="002F1DF4"/>
    <w:rsid w:val="002F2068"/>
    <w:rsid w:val="002F26AF"/>
    <w:rsid w:val="002F26C6"/>
    <w:rsid w:val="002F27A4"/>
    <w:rsid w:val="002F29F5"/>
    <w:rsid w:val="002F2EC7"/>
    <w:rsid w:val="002F2F92"/>
    <w:rsid w:val="002F3465"/>
    <w:rsid w:val="002F397C"/>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91D"/>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4E37"/>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9B0"/>
    <w:rsid w:val="00374C01"/>
    <w:rsid w:val="003752B3"/>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6AB"/>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3481"/>
    <w:rsid w:val="003A40C1"/>
    <w:rsid w:val="003A4469"/>
    <w:rsid w:val="003A4593"/>
    <w:rsid w:val="003A45CA"/>
    <w:rsid w:val="003A4A78"/>
    <w:rsid w:val="003A4D19"/>
    <w:rsid w:val="003A56F3"/>
    <w:rsid w:val="003A6857"/>
    <w:rsid w:val="003A6890"/>
    <w:rsid w:val="003A693B"/>
    <w:rsid w:val="003A6EF5"/>
    <w:rsid w:val="003A733B"/>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0C1"/>
    <w:rsid w:val="003C3271"/>
    <w:rsid w:val="003C3525"/>
    <w:rsid w:val="003C3BF3"/>
    <w:rsid w:val="003C3C58"/>
    <w:rsid w:val="003C4BB6"/>
    <w:rsid w:val="003C4E3E"/>
    <w:rsid w:val="003C5159"/>
    <w:rsid w:val="003C5480"/>
    <w:rsid w:val="003C555D"/>
    <w:rsid w:val="003C5C49"/>
    <w:rsid w:val="003C6116"/>
    <w:rsid w:val="003C6361"/>
    <w:rsid w:val="003C6586"/>
    <w:rsid w:val="003C6690"/>
    <w:rsid w:val="003C6954"/>
    <w:rsid w:val="003C6B9B"/>
    <w:rsid w:val="003C70AB"/>
    <w:rsid w:val="003C74F1"/>
    <w:rsid w:val="003C76A6"/>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6B12"/>
    <w:rsid w:val="003D7DED"/>
    <w:rsid w:val="003D7E67"/>
    <w:rsid w:val="003E06B6"/>
    <w:rsid w:val="003E07AE"/>
    <w:rsid w:val="003E090A"/>
    <w:rsid w:val="003E17E8"/>
    <w:rsid w:val="003E17EB"/>
    <w:rsid w:val="003E1812"/>
    <w:rsid w:val="003E1B88"/>
    <w:rsid w:val="003E27DD"/>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1F6"/>
    <w:rsid w:val="00401A48"/>
    <w:rsid w:val="00401CF2"/>
    <w:rsid w:val="004021B4"/>
    <w:rsid w:val="004021C2"/>
    <w:rsid w:val="00402475"/>
    <w:rsid w:val="004024ED"/>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115"/>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5EF"/>
    <w:rsid w:val="004228FD"/>
    <w:rsid w:val="00422BDA"/>
    <w:rsid w:val="00422E02"/>
    <w:rsid w:val="00423471"/>
    <w:rsid w:val="00423505"/>
    <w:rsid w:val="00423A59"/>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35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87C36"/>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4A64"/>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2C39"/>
    <w:rsid w:val="004A32CA"/>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2DB"/>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794"/>
    <w:rsid w:val="004C2C14"/>
    <w:rsid w:val="004C2FB6"/>
    <w:rsid w:val="004C3358"/>
    <w:rsid w:val="004C34AE"/>
    <w:rsid w:val="004C44FA"/>
    <w:rsid w:val="004C49C6"/>
    <w:rsid w:val="004C509E"/>
    <w:rsid w:val="004C5AFA"/>
    <w:rsid w:val="004C625D"/>
    <w:rsid w:val="004C68C4"/>
    <w:rsid w:val="004C72D1"/>
    <w:rsid w:val="004C7323"/>
    <w:rsid w:val="004D0025"/>
    <w:rsid w:val="004D05AE"/>
    <w:rsid w:val="004D05F0"/>
    <w:rsid w:val="004D0951"/>
    <w:rsid w:val="004D0BD1"/>
    <w:rsid w:val="004D1169"/>
    <w:rsid w:val="004D1408"/>
    <w:rsid w:val="004D1A1A"/>
    <w:rsid w:val="004D1C0C"/>
    <w:rsid w:val="004D25C5"/>
    <w:rsid w:val="004D2987"/>
    <w:rsid w:val="004D2EF9"/>
    <w:rsid w:val="004D39A6"/>
    <w:rsid w:val="004D39CA"/>
    <w:rsid w:val="004D39FE"/>
    <w:rsid w:val="004D3A96"/>
    <w:rsid w:val="004D4277"/>
    <w:rsid w:val="004D4CEC"/>
    <w:rsid w:val="004D4EFD"/>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D3C"/>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6F5C"/>
    <w:rsid w:val="004F772D"/>
    <w:rsid w:val="004F7A24"/>
    <w:rsid w:val="004F7B04"/>
    <w:rsid w:val="004F7D88"/>
    <w:rsid w:val="00500007"/>
    <w:rsid w:val="00500393"/>
    <w:rsid w:val="0050050A"/>
    <w:rsid w:val="00500BD0"/>
    <w:rsid w:val="005011E6"/>
    <w:rsid w:val="005012E4"/>
    <w:rsid w:val="00501412"/>
    <w:rsid w:val="0050143E"/>
    <w:rsid w:val="00501513"/>
    <w:rsid w:val="0050181E"/>
    <w:rsid w:val="0050187F"/>
    <w:rsid w:val="00501A64"/>
    <w:rsid w:val="0050248F"/>
    <w:rsid w:val="00502F78"/>
    <w:rsid w:val="0050347B"/>
    <w:rsid w:val="00503547"/>
    <w:rsid w:val="005035DD"/>
    <w:rsid w:val="005036D0"/>
    <w:rsid w:val="005038C3"/>
    <w:rsid w:val="00503918"/>
    <w:rsid w:val="00503C4A"/>
    <w:rsid w:val="005043FB"/>
    <w:rsid w:val="00504644"/>
    <w:rsid w:val="0050478C"/>
    <w:rsid w:val="00504D9B"/>
    <w:rsid w:val="00504F89"/>
    <w:rsid w:val="005051A0"/>
    <w:rsid w:val="0050539D"/>
    <w:rsid w:val="00505D28"/>
    <w:rsid w:val="00506058"/>
    <w:rsid w:val="00506C69"/>
    <w:rsid w:val="0050716A"/>
    <w:rsid w:val="0050734A"/>
    <w:rsid w:val="00507CD7"/>
    <w:rsid w:val="0051023D"/>
    <w:rsid w:val="005108AD"/>
    <w:rsid w:val="00510B17"/>
    <w:rsid w:val="00511234"/>
    <w:rsid w:val="005117C0"/>
    <w:rsid w:val="00511B45"/>
    <w:rsid w:val="00511C5D"/>
    <w:rsid w:val="00511D9B"/>
    <w:rsid w:val="00512080"/>
    <w:rsid w:val="0051272A"/>
    <w:rsid w:val="0051360B"/>
    <w:rsid w:val="00513D5C"/>
    <w:rsid w:val="005144FA"/>
    <w:rsid w:val="005147FC"/>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116"/>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4EB"/>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B15"/>
    <w:rsid w:val="00546EC4"/>
    <w:rsid w:val="005473A0"/>
    <w:rsid w:val="00547444"/>
    <w:rsid w:val="00547940"/>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0FC1"/>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5B08"/>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6FE"/>
    <w:rsid w:val="005877B6"/>
    <w:rsid w:val="00587D7C"/>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67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281"/>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24"/>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3AC0"/>
    <w:rsid w:val="005C42AE"/>
    <w:rsid w:val="005C4919"/>
    <w:rsid w:val="005C52B2"/>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941"/>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0FA5"/>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51"/>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7DE"/>
    <w:rsid w:val="00611C65"/>
    <w:rsid w:val="00612EAD"/>
    <w:rsid w:val="006130EC"/>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13A"/>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0BC"/>
    <w:rsid w:val="00666458"/>
    <w:rsid w:val="0066698D"/>
    <w:rsid w:val="00666B42"/>
    <w:rsid w:val="00666D67"/>
    <w:rsid w:val="00666FDD"/>
    <w:rsid w:val="0066713F"/>
    <w:rsid w:val="0066746D"/>
    <w:rsid w:val="00667D51"/>
    <w:rsid w:val="00667E16"/>
    <w:rsid w:val="0067047F"/>
    <w:rsid w:val="006708DE"/>
    <w:rsid w:val="00670ACF"/>
    <w:rsid w:val="00670AE9"/>
    <w:rsid w:val="00670CFC"/>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94C"/>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AF"/>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1D1"/>
    <w:rsid w:val="00694244"/>
    <w:rsid w:val="00694493"/>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9BE"/>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5D09"/>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341"/>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1971"/>
    <w:rsid w:val="006D2AEA"/>
    <w:rsid w:val="006D2F18"/>
    <w:rsid w:val="006D36E1"/>
    <w:rsid w:val="006D395D"/>
    <w:rsid w:val="006D39A2"/>
    <w:rsid w:val="006D3C0B"/>
    <w:rsid w:val="006D3E34"/>
    <w:rsid w:val="006D3F7E"/>
    <w:rsid w:val="006D4126"/>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2AC"/>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7CC"/>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1A"/>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DC8"/>
    <w:rsid w:val="00731E03"/>
    <w:rsid w:val="00732177"/>
    <w:rsid w:val="00732662"/>
    <w:rsid w:val="007327D5"/>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610"/>
    <w:rsid w:val="00756750"/>
    <w:rsid w:val="0075686F"/>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B8E"/>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3BE"/>
    <w:rsid w:val="007754F0"/>
    <w:rsid w:val="00775635"/>
    <w:rsid w:val="007756E9"/>
    <w:rsid w:val="00775929"/>
    <w:rsid w:val="00775E08"/>
    <w:rsid w:val="0077695C"/>
    <w:rsid w:val="00777793"/>
    <w:rsid w:val="00777B39"/>
    <w:rsid w:val="007800FD"/>
    <w:rsid w:val="0078020B"/>
    <w:rsid w:val="007804C8"/>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6C"/>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1D15"/>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CFF"/>
    <w:rsid w:val="007A7DE1"/>
    <w:rsid w:val="007B07AC"/>
    <w:rsid w:val="007B0991"/>
    <w:rsid w:val="007B1261"/>
    <w:rsid w:val="007B1865"/>
    <w:rsid w:val="007B1B8D"/>
    <w:rsid w:val="007B292B"/>
    <w:rsid w:val="007B29C0"/>
    <w:rsid w:val="007B2F22"/>
    <w:rsid w:val="007B34FF"/>
    <w:rsid w:val="007B3538"/>
    <w:rsid w:val="007B37E8"/>
    <w:rsid w:val="007B3C17"/>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BA4"/>
    <w:rsid w:val="007C0D77"/>
    <w:rsid w:val="007C0DC1"/>
    <w:rsid w:val="007C0F92"/>
    <w:rsid w:val="007C10CF"/>
    <w:rsid w:val="007C1BE9"/>
    <w:rsid w:val="007C33D8"/>
    <w:rsid w:val="007C3579"/>
    <w:rsid w:val="007C3A9C"/>
    <w:rsid w:val="007C3C74"/>
    <w:rsid w:val="007C3E42"/>
    <w:rsid w:val="007C3EA8"/>
    <w:rsid w:val="007C42AA"/>
    <w:rsid w:val="007C4737"/>
    <w:rsid w:val="007C48A5"/>
    <w:rsid w:val="007C4AA4"/>
    <w:rsid w:val="007C5989"/>
    <w:rsid w:val="007C6B43"/>
    <w:rsid w:val="007C7768"/>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8B1"/>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0B8"/>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0365"/>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6FC"/>
    <w:rsid w:val="007F599E"/>
    <w:rsid w:val="007F6406"/>
    <w:rsid w:val="007F687F"/>
    <w:rsid w:val="007F6B91"/>
    <w:rsid w:val="007F6D12"/>
    <w:rsid w:val="007F7676"/>
    <w:rsid w:val="007F7C1B"/>
    <w:rsid w:val="0080056A"/>
    <w:rsid w:val="0080081D"/>
    <w:rsid w:val="00800848"/>
    <w:rsid w:val="00800A95"/>
    <w:rsid w:val="00800E54"/>
    <w:rsid w:val="00801423"/>
    <w:rsid w:val="00801918"/>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4BB"/>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1E"/>
    <w:rsid w:val="008225DB"/>
    <w:rsid w:val="008227C9"/>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6C77"/>
    <w:rsid w:val="008275FE"/>
    <w:rsid w:val="0083000B"/>
    <w:rsid w:val="00830020"/>
    <w:rsid w:val="0083074B"/>
    <w:rsid w:val="00830A98"/>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A69"/>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87"/>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230"/>
    <w:rsid w:val="00885B1D"/>
    <w:rsid w:val="00885BFF"/>
    <w:rsid w:val="00885E25"/>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96B"/>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765"/>
    <w:rsid w:val="008A18ED"/>
    <w:rsid w:val="008A19A8"/>
    <w:rsid w:val="008A1A23"/>
    <w:rsid w:val="008A2739"/>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05"/>
    <w:rsid w:val="008B001E"/>
    <w:rsid w:val="008B0410"/>
    <w:rsid w:val="008B11DA"/>
    <w:rsid w:val="008B122A"/>
    <w:rsid w:val="008B19C9"/>
    <w:rsid w:val="008B1B64"/>
    <w:rsid w:val="008B1B6C"/>
    <w:rsid w:val="008B1BEE"/>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AA1"/>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4BD6"/>
    <w:rsid w:val="008E52F7"/>
    <w:rsid w:val="008E5575"/>
    <w:rsid w:val="008E55BE"/>
    <w:rsid w:val="008E5B0D"/>
    <w:rsid w:val="008E5DC2"/>
    <w:rsid w:val="008E5ECF"/>
    <w:rsid w:val="008E6107"/>
    <w:rsid w:val="008E6225"/>
    <w:rsid w:val="008E6DB1"/>
    <w:rsid w:val="008E70CE"/>
    <w:rsid w:val="008E763E"/>
    <w:rsid w:val="008E78AD"/>
    <w:rsid w:val="008F057D"/>
    <w:rsid w:val="008F0EEC"/>
    <w:rsid w:val="008F1B22"/>
    <w:rsid w:val="008F2896"/>
    <w:rsid w:val="008F2C07"/>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584"/>
    <w:rsid w:val="00914B79"/>
    <w:rsid w:val="009151EC"/>
    <w:rsid w:val="00915653"/>
    <w:rsid w:val="00915862"/>
    <w:rsid w:val="009159DA"/>
    <w:rsid w:val="0091619F"/>
    <w:rsid w:val="009168A7"/>
    <w:rsid w:val="00916C16"/>
    <w:rsid w:val="00916D00"/>
    <w:rsid w:val="0091733F"/>
    <w:rsid w:val="0091752A"/>
    <w:rsid w:val="00917679"/>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257"/>
    <w:rsid w:val="00952667"/>
    <w:rsid w:val="0095323B"/>
    <w:rsid w:val="0095378D"/>
    <w:rsid w:val="00953B14"/>
    <w:rsid w:val="00954F5D"/>
    <w:rsid w:val="009554B9"/>
    <w:rsid w:val="0095582B"/>
    <w:rsid w:val="00956E3C"/>
    <w:rsid w:val="0095728A"/>
    <w:rsid w:val="009572BB"/>
    <w:rsid w:val="009575C6"/>
    <w:rsid w:val="00957654"/>
    <w:rsid w:val="00957E61"/>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2CC5"/>
    <w:rsid w:val="009934F8"/>
    <w:rsid w:val="00994113"/>
    <w:rsid w:val="00994ADF"/>
    <w:rsid w:val="00995837"/>
    <w:rsid w:val="00995CBF"/>
    <w:rsid w:val="0099673C"/>
    <w:rsid w:val="00996CD6"/>
    <w:rsid w:val="00997967"/>
    <w:rsid w:val="00997A05"/>
    <w:rsid w:val="00997C5D"/>
    <w:rsid w:val="009A0013"/>
    <w:rsid w:val="009A013B"/>
    <w:rsid w:val="009A0451"/>
    <w:rsid w:val="009A08FA"/>
    <w:rsid w:val="009A096F"/>
    <w:rsid w:val="009A0CA4"/>
    <w:rsid w:val="009A1127"/>
    <w:rsid w:val="009A1473"/>
    <w:rsid w:val="009A1513"/>
    <w:rsid w:val="009A1AA8"/>
    <w:rsid w:val="009A1D1F"/>
    <w:rsid w:val="009A2515"/>
    <w:rsid w:val="009A2B55"/>
    <w:rsid w:val="009A2C4A"/>
    <w:rsid w:val="009A2D99"/>
    <w:rsid w:val="009A2E6A"/>
    <w:rsid w:val="009A2E91"/>
    <w:rsid w:val="009A3918"/>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43"/>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14B"/>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3CF"/>
    <w:rsid w:val="009D48EA"/>
    <w:rsid w:val="009D4B02"/>
    <w:rsid w:val="009D4CCB"/>
    <w:rsid w:val="009D4D1B"/>
    <w:rsid w:val="009D501B"/>
    <w:rsid w:val="009D52E9"/>
    <w:rsid w:val="009D5618"/>
    <w:rsid w:val="009D74C8"/>
    <w:rsid w:val="009D77A6"/>
    <w:rsid w:val="009D7E67"/>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3C13"/>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BB3"/>
    <w:rsid w:val="009F5E82"/>
    <w:rsid w:val="009F5E9F"/>
    <w:rsid w:val="009F621F"/>
    <w:rsid w:val="009F627C"/>
    <w:rsid w:val="009F6810"/>
    <w:rsid w:val="009F6898"/>
    <w:rsid w:val="009F6F39"/>
    <w:rsid w:val="009F7EA5"/>
    <w:rsid w:val="00A00D14"/>
    <w:rsid w:val="00A00E82"/>
    <w:rsid w:val="00A0155A"/>
    <w:rsid w:val="00A01A4F"/>
    <w:rsid w:val="00A021B4"/>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375"/>
    <w:rsid w:val="00A11465"/>
    <w:rsid w:val="00A11729"/>
    <w:rsid w:val="00A11947"/>
    <w:rsid w:val="00A11AC9"/>
    <w:rsid w:val="00A123CF"/>
    <w:rsid w:val="00A12425"/>
    <w:rsid w:val="00A124A0"/>
    <w:rsid w:val="00A12BD4"/>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37A"/>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5ED"/>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1ED"/>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82"/>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2F9"/>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C57"/>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89F"/>
    <w:rsid w:val="00AD0FE3"/>
    <w:rsid w:val="00AD130B"/>
    <w:rsid w:val="00AD13D8"/>
    <w:rsid w:val="00AD1461"/>
    <w:rsid w:val="00AD17AE"/>
    <w:rsid w:val="00AD2216"/>
    <w:rsid w:val="00AD24DE"/>
    <w:rsid w:val="00AD2C14"/>
    <w:rsid w:val="00AD2DAA"/>
    <w:rsid w:val="00AD3268"/>
    <w:rsid w:val="00AD3D68"/>
    <w:rsid w:val="00AD4609"/>
    <w:rsid w:val="00AD4ED3"/>
    <w:rsid w:val="00AD516E"/>
    <w:rsid w:val="00AD5BFB"/>
    <w:rsid w:val="00AD674F"/>
    <w:rsid w:val="00AD6A14"/>
    <w:rsid w:val="00AD6CBA"/>
    <w:rsid w:val="00AD7167"/>
    <w:rsid w:val="00AD73C1"/>
    <w:rsid w:val="00AD78ED"/>
    <w:rsid w:val="00AD7AE8"/>
    <w:rsid w:val="00AE050D"/>
    <w:rsid w:val="00AE0AC6"/>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2EE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1B8"/>
    <w:rsid w:val="00B0265B"/>
    <w:rsid w:val="00B02A0E"/>
    <w:rsid w:val="00B02CF5"/>
    <w:rsid w:val="00B02F74"/>
    <w:rsid w:val="00B02F89"/>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5F1"/>
    <w:rsid w:val="00B30679"/>
    <w:rsid w:val="00B30AF9"/>
    <w:rsid w:val="00B313AB"/>
    <w:rsid w:val="00B32429"/>
    <w:rsid w:val="00B3256B"/>
    <w:rsid w:val="00B326F9"/>
    <w:rsid w:val="00B32722"/>
    <w:rsid w:val="00B32BE7"/>
    <w:rsid w:val="00B32CC4"/>
    <w:rsid w:val="00B334F0"/>
    <w:rsid w:val="00B33853"/>
    <w:rsid w:val="00B33FD5"/>
    <w:rsid w:val="00B34285"/>
    <w:rsid w:val="00B34E8D"/>
    <w:rsid w:val="00B35104"/>
    <w:rsid w:val="00B3566F"/>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6E2"/>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3D5A"/>
    <w:rsid w:val="00B54059"/>
    <w:rsid w:val="00B54349"/>
    <w:rsid w:val="00B54766"/>
    <w:rsid w:val="00B55358"/>
    <w:rsid w:val="00B55613"/>
    <w:rsid w:val="00B556C2"/>
    <w:rsid w:val="00B556FA"/>
    <w:rsid w:val="00B55A4C"/>
    <w:rsid w:val="00B55FAE"/>
    <w:rsid w:val="00B565FC"/>
    <w:rsid w:val="00B56764"/>
    <w:rsid w:val="00B567BB"/>
    <w:rsid w:val="00B56BD1"/>
    <w:rsid w:val="00B56F80"/>
    <w:rsid w:val="00B5767D"/>
    <w:rsid w:val="00B57BCB"/>
    <w:rsid w:val="00B6032B"/>
    <w:rsid w:val="00B60648"/>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393"/>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C0E"/>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BD7"/>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2C9"/>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B7A29"/>
    <w:rsid w:val="00BC0656"/>
    <w:rsid w:val="00BC0769"/>
    <w:rsid w:val="00BC1017"/>
    <w:rsid w:val="00BC10F1"/>
    <w:rsid w:val="00BC1AA7"/>
    <w:rsid w:val="00BC1F16"/>
    <w:rsid w:val="00BC2117"/>
    <w:rsid w:val="00BC21D6"/>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B6F"/>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8A4"/>
    <w:rsid w:val="00BF4D09"/>
    <w:rsid w:val="00BF4FCB"/>
    <w:rsid w:val="00BF5055"/>
    <w:rsid w:val="00BF5A6D"/>
    <w:rsid w:val="00BF6363"/>
    <w:rsid w:val="00BF64C3"/>
    <w:rsid w:val="00BF7234"/>
    <w:rsid w:val="00BF77D8"/>
    <w:rsid w:val="00BF793D"/>
    <w:rsid w:val="00BF7AAF"/>
    <w:rsid w:val="00BF7B32"/>
    <w:rsid w:val="00C00987"/>
    <w:rsid w:val="00C009C4"/>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0C3"/>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680"/>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DFE"/>
    <w:rsid w:val="00C83EB0"/>
    <w:rsid w:val="00C84D9A"/>
    <w:rsid w:val="00C85216"/>
    <w:rsid w:val="00C85B22"/>
    <w:rsid w:val="00C85DC0"/>
    <w:rsid w:val="00C86048"/>
    <w:rsid w:val="00C86091"/>
    <w:rsid w:val="00C8671D"/>
    <w:rsid w:val="00C868D4"/>
    <w:rsid w:val="00C869E6"/>
    <w:rsid w:val="00C86B9D"/>
    <w:rsid w:val="00C87947"/>
    <w:rsid w:val="00C90011"/>
    <w:rsid w:val="00C9072F"/>
    <w:rsid w:val="00C9074F"/>
    <w:rsid w:val="00C909E7"/>
    <w:rsid w:val="00C90ADF"/>
    <w:rsid w:val="00C90DA8"/>
    <w:rsid w:val="00C91F24"/>
    <w:rsid w:val="00C925A1"/>
    <w:rsid w:val="00C93568"/>
    <w:rsid w:val="00C93C2A"/>
    <w:rsid w:val="00C93DB2"/>
    <w:rsid w:val="00C93F2A"/>
    <w:rsid w:val="00C941DC"/>
    <w:rsid w:val="00C94980"/>
    <w:rsid w:val="00C9514A"/>
    <w:rsid w:val="00C953BA"/>
    <w:rsid w:val="00C957D4"/>
    <w:rsid w:val="00C95B80"/>
    <w:rsid w:val="00C961BD"/>
    <w:rsid w:val="00C963E5"/>
    <w:rsid w:val="00C9693F"/>
    <w:rsid w:val="00C97E5D"/>
    <w:rsid w:val="00CA03F1"/>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676"/>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1F25"/>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0D72"/>
    <w:rsid w:val="00CF1285"/>
    <w:rsid w:val="00CF164B"/>
    <w:rsid w:val="00CF180E"/>
    <w:rsid w:val="00CF1A55"/>
    <w:rsid w:val="00CF1A5E"/>
    <w:rsid w:val="00CF1C43"/>
    <w:rsid w:val="00CF1EA4"/>
    <w:rsid w:val="00CF215A"/>
    <w:rsid w:val="00CF284D"/>
    <w:rsid w:val="00CF2862"/>
    <w:rsid w:val="00CF2B0D"/>
    <w:rsid w:val="00CF2E69"/>
    <w:rsid w:val="00CF30A0"/>
    <w:rsid w:val="00CF39CE"/>
    <w:rsid w:val="00CF4216"/>
    <w:rsid w:val="00CF4A2E"/>
    <w:rsid w:val="00CF57E2"/>
    <w:rsid w:val="00CF5CEC"/>
    <w:rsid w:val="00CF650C"/>
    <w:rsid w:val="00CF6A47"/>
    <w:rsid w:val="00CF6DC5"/>
    <w:rsid w:val="00CF716D"/>
    <w:rsid w:val="00CF7212"/>
    <w:rsid w:val="00CF7D7A"/>
    <w:rsid w:val="00D00339"/>
    <w:rsid w:val="00D007C1"/>
    <w:rsid w:val="00D00900"/>
    <w:rsid w:val="00D01210"/>
    <w:rsid w:val="00D0124D"/>
    <w:rsid w:val="00D012F1"/>
    <w:rsid w:val="00D013DC"/>
    <w:rsid w:val="00D0158B"/>
    <w:rsid w:val="00D0158F"/>
    <w:rsid w:val="00D02712"/>
    <w:rsid w:val="00D02817"/>
    <w:rsid w:val="00D02F1B"/>
    <w:rsid w:val="00D03114"/>
    <w:rsid w:val="00D032E3"/>
    <w:rsid w:val="00D03BA6"/>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6F8"/>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639"/>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6A1"/>
    <w:rsid w:val="00D527A8"/>
    <w:rsid w:val="00D52CF5"/>
    <w:rsid w:val="00D53051"/>
    <w:rsid w:val="00D5375D"/>
    <w:rsid w:val="00D53CAF"/>
    <w:rsid w:val="00D53F14"/>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B58"/>
    <w:rsid w:val="00D63EE0"/>
    <w:rsid w:val="00D642CF"/>
    <w:rsid w:val="00D64735"/>
    <w:rsid w:val="00D65302"/>
    <w:rsid w:val="00D65446"/>
    <w:rsid w:val="00D66524"/>
    <w:rsid w:val="00D67534"/>
    <w:rsid w:val="00D67B9C"/>
    <w:rsid w:val="00D67F39"/>
    <w:rsid w:val="00D70219"/>
    <w:rsid w:val="00D70506"/>
    <w:rsid w:val="00D70674"/>
    <w:rsid w:val="00D708BA"/>
    <w:rsid w:val="00D708CB"/>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6F77"/>
    <w:rsid w:val="00D77C57"/>
    <w:rsid w:val="00D77ED4"/>
    <w:rsid w:val="00D80103"/>
    <w:rsid w:val="00D80348"/>
    <w:rsid w:val="00D8054D"/>
    <w:rsid w:val="00D8082F"/>
    <w:rsid w:val="00D81163"/>
    <w:rsid w:val="00D81256"/>
    <w:rsid w:val="00D814B8"/>
    <w:rsid w:val="00D819AD"/>
    <w:rsid w:val="00D81D0D"/>
    <w:rsid w:val="00D82C30"/>
    <w:rsid w:val="00D8315B"/>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62"/>
    <w:rsid w:val="00DA10A5"/>
    <w:rsid w:val="00DA1420"/>
    <w:rsid w:val="00DA1609"/>
    <w:rsid w:val="00DA18E0"/>
    <w:rsid w:val="00DA2A04"/>
    <w:rsid w:val="00DA2A56"/>
    <w:rsid w:val="00DA30DE"/>
    <w:rsid w:val="00DA337D"/>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3C3"/>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3FA1"/>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63ED"/>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13"/>
    <w:rsid w:val="00E039EE"/>
    <w:rsid w:val="00E03C52"/>
    <w:rsid w:val="00E03F68"/>
    <w:rsid w:val="00E04341"/>
    <w:rsid w:val="00E04443"/>
    <w:rsid w:val="00E048E1"/>
    <w:rsid w:val="00E04BF2"/>
    <w:rsid w:val="00E05100"/>
    <w:rsid w:val="00E05776"/>
    <w:rsid w:val="00E0605C"/>
    <w:rsid w:val="00E06EBD"/>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92C"/>
    <w:rsid w:val="00E22DB2"/>
    <w:rsid w:val="00E23724"/>
    <w:rsid w:val="00E2398E"/>
    <w:rsid w:val="00E24118"/>
    <w:rsid w:val="00E2430D"/>
    <w:rsid w:val="00E245E7"/>
    <w:rsid w:val="00E24A9F"/>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3D"/>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59D"/>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544"/>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3DF"/>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7A3"/>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5CC"/>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037"/>
    <w:rsid w:val="00EB1104"/>
    <w:rsid w:val="00EB149D"/>
    <w:rsid w:val="00EB1BF8"/>
    <w:rsid w:val="00EB1FF8"/>
    <w:rsid w:val="00EB23E3"/>
    <w:rsid w:val="00EB241E"/>
    <w:rsid w:val="00EB243A"/>
    <w:rsid w:val="00EB25CA"/>
    <w:rsid w:val="00EB277C"/>
    <w:rsid w:val="00EB2E30"/>
    <w:rsid w:val="00EB2E91"/>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45C"/>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43D8"/>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44F"/>
    <w:rsid w:val="00EE651D"/>
    <w:rsid w:val="00EE6544"/>
    <w:rsid w:val="00EE6749"/>
    <w:rsid w:val="00EE6819"/>
    <w:rsid w:val="00EE68BF"/>
    <w:rsid w:val="00EE7022"/>
    <w:rsid w:val="00EE7792"/>
    <w:rsid w:val="00EE7CD4"/>
    <w:rsid w:val="00EF01BC"/>
    <w:rsid w:val="00EF02CC"/>
    <w:rsid w:val="00EF02E7"/>
    <w:rsid w:val="00EF03DF"/>
    <w:rsid w:val="00EF05B4"/>
    <w:rsid w:val="00EF0948"/>
    <w:rsid w:val="00EF11CE"/>
    <w:rsid w:val="00EF150A"/>
    <w:rsid w:val="00EF1B9F"/>
    <w:rsid w:val="00EF2394"/>
    <w:rsid w:val="00EF26DD"/>
    <w:rsid w:val="00EF27AB"/>
    <w:rsid w:val="00EF3365"/>
    <w:rsid w:val="00EF3AC2"/>
    <w:rsid w:val="00EF3C2E"/>
    <w:rsid w:val="00EF3E74"/>
    <w:rsid w:val="00EF41B3"/>
    <w:rsid w:val="00EF4574"/>
    <w:rsid w:val="00EF53D0"/>
    <w:rsid w:val="00EF5721"/>
    <w:rsid w:val="00EF5732"/>
    <w:rsid w:val="00EF5846"/>
    <w:rsid w:val="00EF5A77"/>
    <w:rsid w:val="00EF5AE6"/>
    <w:rsid w:val="00EF5E05"/>
    <w:rsid w:val="00EF634F"/>
    <w:rsid w:val="00EF7D57"/>
    <w:rsid w:val="00F00708"/>
    <w:rsid w:val="00F0081B"/>
    <w:rsid w:val="00F01668"/>
    <w:rsid w:val="00F016D0"/>
    <w:rsid w:val="00F01B19"/>
    <w:rsid w:val="00F01BDD"/>
    <w:rsid w:val="00F03162"/>
    <w:rsid w:val="00F031DA"/>
    <w:rsid w:val="00F03515"/>
    <w:rsid w:val="00F0353C"/>
    <w:rsid w:val="00F03A5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9DE"/>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0DA7"/>
    <w:rsid w:val="00F31136"/>
    <w:rsid w:val="00F31B8C"/>
    <w:rsid w:val="00F31FDF"/>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003"/>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AF6"/>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522"/>
    <w:rsid w:val="00FA19D5"/>
    <w:rsid w:val="00FA1E90"/>
    <w:rsid w:val="00FA23A4"/>
    <w:rsid w:val="00FA3117"/>
    <w:rsid w:val="00FA3755"/>
    <w:rsid w:val="00FA3AB7"/>
    <w:rsid w:val="00FA3F9A"/>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315"/>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7A1"/>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D7C2E"/>
    <w:rsid w:val="00FE0906"/>
    <w:rsid w:val="00FE0B32"/>
    <w:rsid w:val="00FE102B"/>
    <w:rsid w:val="00FE1234"/>
    <w:rsid w:val="00FE162D"/>
    <w:rsid w:val="00FE17E8"/>
    <w:rsid w:val="00FE1D76"/>
    <w:rsid w:val="00FE1F3C"/>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7">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qFormat/>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 w:type="paragraph" w:customStyle="1" w:styleId="DefaultLTGliederung1">
    <w:name w:val="Default~LT~Gliederung 1"/>
    <w:uiPriority w:val="99"/>
    <w:rsid w:val="00D526A1"/>
    <w:pPr>
      <w:tabs>
        <w:tab w:val="left" w:pos="1080"/>
        <w:tab w:val="left" w:pos="2520"/>
        <w:tab w:val="left" w:pos="3960"/>
        <w:tab w:val="left" w:pos="5400"/>
        <w:tab w:val="left" w:pos="6840"/>
        <w:tab w:val="left" w:pos="8280"/>
        <w:tab w:val="left" w:pos="9720"/>
        <w:tab w:val="left" w:pos="11160"/>
        <w:tab w:val="left" w:pos="12600"/>
        <w:tab w:val="left" w:pos="14040"/>
        <w:tab w:val="left" w:pos="15480"/>
      </w:tabs>
      <w:autoSpaceDE w:val="0"/>
      <w:autoSpaceDN w:val="0"/>
      <w:adjustRightInd w:val="0"/>
      <w:spacing w:before="200" w:line="216" w:lineRule="auto"/>
    </w:pPr>
    <w:rPr>
      <w:rFonts w:ascii="FreeSans" w:hAnsi="FreeSans" w:cs="FreeSans"/>
      <w:color w:val="000000"/>
      <w:sz w:val="56"/>
      <w:szCs w:val="56"/>
    </w:rPr>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45CF-7C15-4331-BBC7-AA1DE092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4</Pages>
  <Words>1605</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9893</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74</cp:revision>
  <cp:lastPrinted>2010-08-09T09:27:00Z</cp:lastPrinted>
  <dcterms:created xsi:type="dcterms:W3CDTF">2017-05-05T02:02:00Z</dcterms:created>
  <dcterms:modified xsi:type="dcterms:W3CDTF">2017-10-03T01:23:00Z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